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hd w:val="clear"/>
        <w:rPr>
          <w:highlight w:val="none"/>
        </w:rPr>
      </w:pPr>
      <w:bookmarkStart w:id="0" w:name="SectionMark0"/>
      <w:bookmarkStart w:id="1" w:name="SectionMark2"/>
      <w:r>
        <w:rPr>
          <w:highlight w:val="none"/>
        </w:rPr>
        <w:drawing>
          <wp:inline distT="0" distB="0" distL="0" distR="0">
            <wp:extent cx="1437640" cy="718820"/>
            <wp:effectExtent l="0" t="0" r="0" b="0"/>
            <wp:docPr id="27" name="_x0000_i122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i1222" descr="G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1"/>
        <w:framePr w:wrap="around" w:vAnchor="page" w:hAnchor="page" w:x="1183" w:y="2432"/>
        <w:shd w:val="clear"/>
        <w:rPr>
          <w:highlight w:val="none"/>
        </w:rPr>
      </w:pPr>
      <w:r>
        <w:rPr>
          <w:rFonts w:hint="eastAsia"/>
          <w:highlight w:val="none"/>
        </w:rPr>
        <w:t>中华人民共和国国家标准</w:t>
      </w:r>
    </w:p>
    <w:p>
      <w:pPr>
        <w:pStyle w:val="58"/>
        <w:framePr w:h="1501" w:hRule="exact" w:hAnchor="page" w:x="1944" w:y="2808"/>
        <w:shd w:val="clear"/>
        <w:rPr>
          <w:highlight w:val="none"/>
        </w:rPr>
      </w:pPr>
    </w:p>
    <w:p>
      <w:pPr>
        <w:pStyle w:val="59"/>
        <w:framePr w:h="1501" w:hRule="exact" w:hAnchor="page" w:x="1944" w:y="2808"/>
        <w:shd w:val="clear"/>
        <w:spacing w:line="360" w:lineRule="exact"/>
        <w:rPr>
          <w:rFonts w:ascii="Times New Roman" w:eastAsia="黑体"/>
          <w:sz w:val="28"/>
          <w:szCs w:val="28"/>
          <w:highlight w:val="none"/>
          <w:lang w:val="fr-FR"/>
        </w:rPr>
      </w:pPr>
      <w:r>
        <w:rPr>
          <w:rFonts w:ascii="Times New Roman" w:eastAsia="黑体"/>
          <w:sz w:val="28"/>
          <w:szCs w:val="28"/>
          <w:highlight w:val="none"/>
          <w:lang w:val="fr-FR"/>
        </w:rPr>
        <w:t xml:space="preserve">GB </w:t>
      </w:r>
      <w:r>
        <w:rPr>
          <w:rFonts w:hint="eastAsia" w:ascii="Times New Roman" w:eastAsia="黑体"/>
          <w:sz w:val="28"/>
          <w:szCs w:val="28"/>
          <w:highlight w:val="none"/>
          <w:lang w:val="fr-FR"/>
        </w:rPr>
        <w:t>××××</w:t>
      </w:r>
      <w:r>
        <w:rPr>
          <w:rFonts w:hAnsi="宋体"/>
          <w:kern w:val="28"/>
          <w:sz w:val="28"/>
          <w:szCs w:val="28"/>
          <w:highlight w:val="none"/>
          <w:lang w:val="fr-FR"/>
        </w:rPr>
        <w:t>—</w:t>
      </w:r>
      <w:r>
        <w:rPr>
          <w:rFonts w:hint="eastAsia" w:ascii="Times New Roman" w:eastAsia="黑体"/>
          <w:sz w:val="28"/>
          <w:szCs w:val="28"/>
          <w:highlight w:val="none"/>
          <w:lang w:val="fr-FR"/>
        </w:rPr>
        <w:t>××××</w:t>
      </w:r>
    </w:p>
    <w:p>
      <w:pPr>
        <w:pStyle w:val="58"/>
        <w:framePr w:h="1501" w:hRule="exact" w:hAnchor="page" w:x="1944" w:y="2808"/>
        <w:shd w:val="clear"/>
        <w:rPr>
          <w:highlight w:val="none"/>
          <w:lang w:val="de-DE"/>
        </w:rPr>
      </w:pPr>
    </w:p>
    <w:p>
      <w:pPr>
        <w:pStyle w:val="58"/>
        <w:framePr w:h="1501" w:hRule="exact" w:hAnchor="page" w:x="1944" w:y="2808"/>
        <w:shd w:val="clear"/>
        <w:rPr>
          <w:highlight w:val="none"/>
          <w:lang w:val="de-DE"/>
        </w:rPr>
      </w:pPr>
    </w:p>
    <w:p>
      <w:pPr>
        <w:pStyle w:val="47"/>
        <w:numPr>
          <w:ilvl w:val="0"/>
          <w:numId w:val="0"/>
        </w:numPr>
        <w:shd w:val="clear"/>
        <w:tabs>
          <w:tab w:val="left" w:pos="630"/>
        </w:tabs>
        <w:jc w:val="both"/>
        <w:rPr>
          <w:rFonts w:ascii="Times New Roman"/>
          <w:highlight w:val="none"/>
          <w:lang w:val="de-D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851" w:right="1168" w:bottom="1134" w:left="1230" w:header="0" w:footer="0" w:gutter="0"/>
          <w:pgNumType w:start="1"/>
          <w:cols w:space="425" w:num="1"/>
          <w:titlePg/>
          <w:docGrid w:type="linesAndChars" w:linePitch="312" w:charSpace="0"/>
        </w:sectPr>
      </w:pPr>
      <w:r>
        <w:rPr>
          <w:highlight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470535</wp:posOffset>
            </wp:positionH>
            <wp:positionV relativeFrom="paragraph">
              <wp:posOffset>8885555</wp:posOffset>
            </wp:positionV>
            <wp:extent cx="5257800" cy="946150"/>
            <wp:effectExtent l="0" t="0" r="0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t="2995" r="123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8841105</wp:posOffset>
                </wp:positionV>
                <wp:extent cx="6071870" cy="0"/>
                <wp:effectExtent l="5080" t="6985" r="9525" b="12065"/>
                <wp:wrapNone/>
                <wp:docPr id="13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3.75pt;margin-top:696.15pt;height:0pt;width:478.1pt;z-index:251666432;mso-width-relative:page;mso-height-relative:page;" filled="f" stroked="t" coordsize="21600,21600" o:gfxdata="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nzY61wAAAAsBAAAP&#10;AAAAAAAAAAEAIAAAACIAAABkcnMvZG93bnJldi54bWxQSwECFAAUAAAACACHTuJABERk7eABAADH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t"/>
              </v:shape>
            </w:pict>
          </mc:Fallback>
        </mc:AlternateContent>
      </w: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2304415</wp:posOffset>
                </wp:positionV>
                <wp:extent cx="6120130" cy="0"/>
                <wp:effectExtent l="13970" t="13970" r="9525" b="5080"/>
                <wp:wrapNone/>
                <wp:docPr id="12" name="L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-0.05pt;margin-top:181.45pt;height:0pt;width:481.9pt;z-index:251665408;mso-width-relative:page;mso-height-relative:page;" filled="f" stroked="t" coordsize="21600,21600" o:gfxdata="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Dcot1gAAAAkBAAAPAAAAAAAAAAEAIAAAACIA&#10;AABkcnMvZG93bnJldi54bWxQSwECFAAUAAAACACHTuJAqdClldIBAACz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-55880</wp:posOffset>
                </wp:positionH>
                <wp:positionV relativeFrom="margin">
                  <wp:posOffset>4033520</wp:posOffset>
                </wp:positionV>
                <wp:extent cx="5969000" cy="3987800"/>
                <wp:effectExtent l="5080" t="4445" r="7620" b="8255"/>
                <wp:wrapNone/>
                <wp:docPr id="1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0" cy="398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食品安全国家标准</w:t>
                            </w:r>
                          </w:p>
                          <w:p>
                            <w:pPr>
                              <w:pStyle w:val="60"/>
                              <w:spacing w:line="240" w:lineRule="auto"/>
                              <w:rPr>
                                <w:rFonts w:hint="eastAsia" w:eastAsia="黑体"/>
                                <w:spacing w:val="-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食品</w:t>
                            </w:r>
                            <w:r>
                              <w:rPr>
                                <w:rFonts w:hint="eastAsia"/>
                                <w:spacing w:val="-12"/>
                                <w:lang w:val="en-US" w:eastAsia="zh-CN"/>
                              </w:rPr>
                              <w:t>添加剂</w:t>
                            </w:r>
                            <w:r>
                              <w:rPr>
                                <w:rFonts w:hint="eastAsia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酒石酸铁</w:t>
                            </w:r>
                          </w:p>
                          <w:p>
                            <w:pPr>
                              <w:pStyle w:val="64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征求意见稿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）</w:t>
                            </w:r>
                          </w:p>
                          <w:p>
                            <w:pPr>
                              <w:pStyle w:val="62"/>
                            </w:pPr>
                          </w:p>
                          <w:p>
                            <w:pPr>
                              <w:pStyle w:val="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4.4pt;margin-top:317.6pt;height:314pt;width:47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7MYd3&#10;2AAAAAsBAAAPAAAAAAAAAAEAIAAAACIAAABkcnMvZG93bnJldi54bWxQSwECFAAUAAAACACHTuJA&#10;ApNOQSECAABfBAAADgAAAAAAAAABACAAAAAnAQAAZHJzL2Uyb0RvYy54bWxQSwUGAAAAAAYABgBZ&#10;AQAAugUAAAAA&#10;">
                <v:fill on="t" opacity="0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pStyle w:val="60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食品安全国家标准</w:t>
                      </w:r>
                    </w:p>
                    <w:p>
                      <w:pPr>
                        <w:pStyle w:val="60"/>
                        <w:spacing w:line="240" w:lineRule="auto"/>
                        <w:rPr>
                          <w:rFonts w:hint="eastAsia" w:eastAsia="黑体"/>
                          <w:spacing w:val="-12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食品</w:t>
                      </w:r>
                      <w:r>
                        <w:rPr>
                          <w:rFonts w:hint="eastAsia"/>
                          <w:spacing w:val="-12"/>
                          <w:lang w:val="en-US" w:eastAsia="zh-CN"/>
                        </w:rPr>
                        <w:t>添加剂</w:t>
                      </w:r>
                      <w:r>
                        <w:rPr>
                          <w:rFonts w:hint="eastAsia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酒石酸铁</w:t>
                      </w:r>
                    </w:p>
                    <w:p>
                      <w:pPr>
                        <w:pStyle w:val="64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征求意见稿</w:t>
                      </w:r>
                      <w:r>
                        <w:rPr>
                          <w:rFonts w:hint="eastAsia" w:ascii="黑体" w:hAnsi="黑体" w:eastAsia="黑体"/>
                        </w:rPr>
                        <w:t>）</w:t>
                      </w:r>
                    </w:p>
                    <w:p>
                      <w:pPr>
                        <w:pStyle w:val="62"/>
                      </w:pPr>
                    </w:p>
                    <w:p>
                      <w:pPr>
                        <w:pStyle w:val="6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6551295</wp:posOffset>
                </wp:positionV>
                <wp:extent cx="6121400" cy="0"/>
                <wp:effectExtent l="8255" t="12700" r="13970" b="6350"/>
                <wp:wrapNone/>
                <wp:docPr id="10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5pt;margin-top:515.85pt;height:0pt;width:482pt;z-index:251663360;mso-width-relative:page;mso-height-relative:page;" filled="f" stroked="t" coordsize="21600,21600" o:gfxdata="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EEVB1wAAAAwBAAAPAAAAAAAAAAEAIAAAACIA&#10;AABkcnMvZG93bnJldi54bWxQSwECFAAUAAAACACHTuJAnRaxWNEBAAC0AwAADgAAAAAAAAABACAA&#10;AAAmAQAAZHJzL2Uyb0RvYy54bWxQSwUGAAAAAAYABgBZAQAAaQUAAAAA&#10;">
                <v:fill on="f" focussize="0,0"/>
                <v:stroke weight="1pt" color="#FFFFFF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-1905</wp:posOffset>
                </wp:positionV>
                <wp:extent cx="6121400" cy="0"/>
                <wp:effectExtent l="8255" t="12700" r="13970" b="6350"/>
                <wp:wrapNone/>
                <wp:docPr id="9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5pt;margin-top:-0.15pt;height:0pt;width:482pt;z-index:251662336;mso-width-relative:page;mso-height-relative:page;" filled="f" stroked="t" coordsize="21600,21600" o:gfxdata="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rdEe1AAAAAYBAAAPAAAAAAAAAAEAIAAAACIAAABk&#10;cnMvZG93bnJldi54bWxQSwECFAAUAAAACACHTuJAmx5ZJdEBAACzAwAADgAAAAAAAAABACAAAAAj&#10;AQAAZHJzL2Uyb0RvYy54bWxQSwUGAAAAAAYABgBZAQAAZgUAAAAA&#10;">
                <v:fill on="f" focussize="0,0"/>
                <v:stroke weight="1pt" color="#FFFFFF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8255" r="7620" b="10795"/>
                <wp:wrapNone/>
                <wp:docPr id="8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700pt;height:0pt;width:482pt;z-index:25165926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2GrA71AAAAAoBAAAPAAAAAAAAAAEAIAAAACIAAABk&#10;cnMvZG93bnJldi54bWxQSwECFAAUAAAACACHTuJAyzp0ftEBAACzAwAADgAAAAAAAAABACAAAAAj&#10;AQAAZHJzL2Uyb0RvYy54bWxQSwUGAAAAAAYABgBZAQAAZgUAAAAA&#10;">
                <v:fill on="f" focussize="0,0"/>
                <v:stroke weight="1pt" color="#FFFFFF" joinstyle="round"/>
                <v:imagedata o:title=""/>
                <o:lock v:ext="edit" aspectratio="t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4067175</wp:posOffset>
                </wp:positionH>
                <wp:positionV relativeFrom="margin">
                  <wp:posOffset>8528685</wp:posOffset>
                </wp:positionV>
                <wp:extent cx="2019300" cy="312420"/>
                <wp:effectExtent l="0" t="0" r="4445" b="2540"/>
                <wp:wrapNone/>
                <wp:docPr id="7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×-××-××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20.25pt;margin-top:671.55pt;height:24.6pt;width:159pt;mso-position-horizontal-relative:margin;mso-position-vertical-relative:margin;z-index:251661312;mso-width-relative:page;mso-height-relative:page;" filled="f" stroked="f" coordsize="21600,21600" o:gfxdata="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fF71NoAAAANAQAADwAAAAAAAAABACAAAAAiAAAAZHJz&#10;L2Rvd25yZXYueG1sUEsBAhQAFAAAAAgAh07iQG/RYeMCAgAAFwQAAA4AAAAAAAAAAQAgAAAAKQEA&#10;AGRycy9lMm9Eb2MueG1sUEsFBgAAAAAGAAYAWQEAAJ0FAAAAAA==&#10;">
                <v:fill on="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pStyle w:val="94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×-××-××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47625</wp:posOffset>
                </wp:positionH>
                <wp:positionV relativeFrom="margin">
                  <wp:posOffset>8528685</wp:posOffset>
                </wp:positionV>
                <wp:extent cx="2019300" cy="312420"/>
                <wp:effectExtent l="0" t="0" r="4445" b="2540"/>
                <wp:wrapNone/>
                <wp:docPr id="6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6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×-××-××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.75pt;margin-top:671.55pt;height:24.6pt;width:159pt;mso-position-horizontal-relative:margin;mso-position-vertical-relative:margin;z-index:251660288;mso-width-relative:page;mso-height-relative:page;" filled="f" stroked="f" coordsize="21600,21600" o:gfxdata="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YeMj2QAAAAsBAAAPAAAAAAAAAAEAIAAAACIAAABkcnMv&#10;ZG93bnJldi54bWxQSwECFAAUAAAACACHTuJANMlfSgICAAAXBAAADgAAAAAAAAABACAAAAAoAQAA&#10;ZHJzL2Uyb0RvYy54bWxQSwUGAAAAAAYABgBZAQAAnAUAAAAA&#10;">
                <v:fill on="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pStyle w:val="56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×-××-××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highlight w:val="none"/>
          <w:lang w:val="de-DE"/>
        </w:rPr>
        <w:tab/>
      </w:r>
    </w:p>
    <w:bookmarkEnd w:id="0"/>
    <w:bookmarkEnd w:id="1"/>
    <w:p>
      <w:pPr>
        <w:shd w:val="clear"/>
        <w:spacing w:before="1320"/>
        <w:jc w:val="center"/>
        <w:rPr>
          <w:rFonts w:eastAsia="黑体"/>
          <w:sz w:val="32"/>
          <w:szCs w:val="32"/>
          <w:highlight w:val="none"/>
        </w:rPr>
      </w:pPr>
      <w:bookmarkStart w:id="2" w:name="SectionMark4"/>
      <w:r>
        <w:rPr>
          <w:rFonts w:eastAsia="黑体"/>
          <w:sz w:val="32"/>
          <w:szCs w:val="32"/>
          <w:highlight w:val="none"/>
        </w:rPr>
        <w:t>食品安全国家标准</w:t>
      </w:r>
    </w:p>
    <w:p>
      <w:pPr>
        <w:pStyle w:val="49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食品添加剂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酒石酸铁</w:t>
      </w:r>
    </w:p>
    <w:p>
      <w:pPr>
        <w:pStyle w:val="50"/>
        <w:shd w:val="clear"/>
        <w:tabs>
          <w:tab w:val="left" w:pos="426"/>
        </w:tabs>
        <w:spacing w:before="156" w:beforeLines="0" w:after="156" w:afterLines="0" w:line="360" w:lineRule="auto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范围</w:t>
      </w:r>
    </w:p>
    <w:p>
      <w:pPr>
        <w:shd w:val="clear"/>
        <w:spacing w:line="320" w:lineRule="exact"/>
        <w:ind w:firstLine="420" w:firstLineChars="200"/>
        <w:rPr>
          <w:highlight w:val="none"/>
        </w:rPr>
      </w:pPr>
      <w:r>
        <w:rPr>
          <w:highlight w:val="none"/>
        </w:rPr>
        <w:t>本标准适用</w:t>
      </w:r>
      <w:r>
        <w:rPr>
          <w:rFonts w:hint="eastAsia"/>
          <w:highlight w:val="none"/>
        </w:rPr>
        <w:t>于以L-酒石酸、氢氧化钠与氯化铁为原料，经络合制得的食品添加剂酒石酸铁。</w:t>
      </w:r>
    </w:p>
    <w:p>
      <w:pPr>
        <w:pStyle w:val="50"/>
        <w:shd w:val="clear"/>
        <w:tabs>
          <w:tab w:val="left" w:pos="426"/>
        </w:tabs>
        <w:spacing w:before="156" w:beforeLines="0" w:after="156" w:afterLines="0" w:line="360" w:lineRule="auto"/>
        <w:rPr>
          <w:rFonts w:hint="eastAsia" w:hAnsi="Times New Roman" w:cs="Times New Roman"/>
          <w:szCs w:val="22"/>
          <w:highlight w:val="none"/>
        </w:rPr>
      </w:pPr>
      <w:r>
        <w:rPr>
          <w:rFonts w:hint="eastAsia" w:hAnsi="Times New Roman" w:cs="Times New Roman"/>
          <w:szCs w:val="22"/>
          <w:highlight w:val="none"/>
        </w:rPr>
        <w:t xml:space="preserve">2 </w:t>
      </w:r>
      <w:r>
        <w:rPr>
          <w:rFonts w:hint="eastAsia" w:cs="Times New Roman"/>
          <w:szCs w:val="22"/>
          <w:highlight w:val="none"/>
          <w:lang w:val="en-US" w:eastAsia="zh-CN"/>
        </w:rPr>
        <w:t>化学名称、</w:t>
      </w:r>
      <w:r>
        <w:rPr>
          <w:rFonts w:hint="eastAsia" w:hAnsi="Times New Roman" w:cs="Times New Roman"/>
          <w:szCs w:val="22"/>
          <w:highlight w:val="none"/>
        </w:rPr>
        <w:t>分子式</w:t>
      </w:r>
      <w:r>
        <w:rPr>
          <w:rFonts w:hint="eastAsia" w:cs="Times New Roman"/>
          <w:szCs w:val="22"/>
          <w:highlight w:val="none"/>
          <w:lang w:eastAsia="zh-CN"/>
        </w:rPr>
        <w:t>、</w:t>
      </w:r>
      <w:r>
        <w:rPr>
          <w:rFonts w:hint="eastAsia" w:cs="Times New Roman"/>
          <w:szCs w:val="22"/>
          <w:highlight w:val="none"/>
          <w:lang w:val="en-US" w:eastAsia="zh-CN"/>
        </w:rPr>
        <w:t>结构式</w:t>
      </w:r>
      <w:r>
        <w:rPr>
          <w:rFonts w:hint="eastAsia" w:hAnsi="Times New Roman" w:cs="Times New Roman"/>
          <w:szCs w:val="22"/>
          <w:highlight w:val="none"/>
        </w:rPr>
        <w:t>和</w:t>
      </w:r>
      <w:r>
        <w:rPr>
          <w:rFonts w:hint="eastAsia" w:cs="Times New Roman"/>
          <w:szCs w:val="22"/>
          <w:highlight w:val="none"/>
          <w:lang w:val="en-US" w:eastAsia="zh-CN"/>
        </w:rPr>
        <w:t>相对</w:t>
      </w:r>
      <w:r>
        <w:rPr>
          <w:rFonts w:hint="eastAsia" w:hAnsi="Times New Roman" w:cs="Times New Roman"/>
          <w:szCs w:val="22"/>
          <w:highlight w:val="none"/>
        </w:rPr>
        <w:t>分子质量</w:t>
      </w:r>
    </w:p>
    <w:p>
      <w:pPr>
        <w:pStyle w:val="49"/>
        <w:shd w:val="clear"/>
        <w:spacing w:line="360" w:lineRule="auto"/>
        <w:ind w:firstLine="0" w:firstLineChars="0"/>
        <w:rPr>
          <w:rFonts w:hint="default" w:ascii="黑体" w:hAnsi="Times New Roman" w:eastAsia="黑体" w:cs="Times New Roman"/>
          <w:szCs w:val="22"/>
          <w:highlight w:val="none"/>
          <w:lang w:val="en-US" w:eastAsia="zh-CN"/>
        </w:rPr>
      </w:pP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2.1</w:t>
      </w:r>
      <w:r>
        <w:rPr>
          <w:rFonts w:hint="eastAsia" w:ascii="黑体" w:hAnsi="Times New Roman" w:eastAsia="黑体" w:cs="Times New Roman"/>
          <w:szCs w:val="22"/>
          <w:highlight w:val="none"/>
          <w:lang w:val="en-US" w:eastAsia="zh-CN"/>
        </w:rPr>
        <w:t xml:space="preserve"> </w:t>
      </w:r>
      <w:r>
        <w:rPr>
          <w:rFonts w:hint="eastAsia" w:ascii="黑体" w:eastAsia="黑体" w:cs="Times New Roman"/>
          <w:szCs w:val="22"/>
          <w:highlight w:val="none"/>
          <w:lang w:val="en-US" w:eastAsia="zh-CN"/>
        </w:rPr>
        <w:t>化学名称</w:t>
      </w:r>
    </w:p>
    <w:p>
      <w:pPr>
        <w:pStyle w:val="49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4" w:lineRule="auto"/>
        <w:ind w:firstLine="400" w:firstLineChars="200"/>
        <w:textAlignment w:val="auto"/>
        <w:rPr>
          <w:rFonts w:hint="default" w:ascii="黑体" w:hAnsi="Times New Roman" w:eastAsia="宋体" w:cs="Times New Roman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D,L,内消旋-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  <w:t>2,3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  <w:t>二羟基丁二酸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合铁(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en-US" w:eastAsia="zh-CN"/>
        </w:rPr>
        <w:t>Ⅲ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>)</w:t>
      </w:r>
    </w:p>
    <w:p>
      <w:pPr>
        <w:pStyle w:val="49"/>
        <w:shd w:val="clear"/>
        <w:spacing w:line="360" w:lineRule="auto"/>
        <w:ind w:firstLine="0" w:firstLineChars="0"/>
        <w:rPr>
          <w:rFonts w:ascii="黑体" w:hAnsi="Times New Roman" w:eastAsia="黑体" w:cs="Times New Roman"/>
          <w:szCs w:val="22"/>
          <w:highlight w:val="none"/>
        </w:rPr>
      </w:pP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2.</w:t>
      </w:r>
      <w:r>
        <w:rPr>
          <w:rFonts w:hint="eastAsia" w:ascii="黑体" w:eastAsia="黑体" w:cs="Times New Roman"/>
          <w:szCs w:val="22"/>
          <w:highlight w:val="none"/>
          <w:lang w:val="en-US" w:eastAsia="zh-CN"/>
        </w:rPr>
        <w:t>2</w:t>
      </w:r>
      <w:r>
        <w:rPr>
          <w:rFonts w:hint="eastAsia" w:ascii="黑体" w:hAnsi="Times New Roman" w:eastAsia="黑体" w:cs="Times New Roman"/>
          <w:szCs w:val="22"/>
          <w:highlight w:val="none"/>
          <w:lang w:val="en-US" w:eastAsia="zh-CN"/>
        </w:rPr>
        <w:t xml:space="preserve"> </w:t>
      </w:r>
      <w:r>
        <w:rPr>
          <w:rFonts w:ascii="黑体" w:hAnsi="Times New Roman" w:eastAsia="黑体" w:cs="Times New Roman"/>
          <w:szCs w:val="22"/>
          <w:highlight w:val="none"/>
        </w:rPr>
        <w:t>分子式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ind w:left="0" w:leftChars="0" w:right="0" w:firstLine="400" w:firstLineChars="200"/>
        <w:jc w:val="left"/>
        <w:textAlignment w:val="auto"/>
        <w:rPr>
          <w:highlight w:val="none"/>
        </w:rPr>
      </w:pPr>
      <w:bookmarkStart w:id="3" w:name="OLE_LINK10"/>
      <w:r>
        <w:rPr>
          <w:highlight w:val="none"/>
          <w:lang w:val="en-US"/>
        </w:rPr>
        <w:t>Fe (OH)</w:t>
      </w:r>
      <w:r>
        <w:rPr>
          <w:highlight w:val="none"/>
          <w:vertAlign w:val="subscript"/>
          <w:lang w:val="en-US"/>
        </w:rPr>
        <w:t>2</w:t>
      </w:r>
      <w:r>
        <w:rPr>
          <w:highlight w:val="none"/>
          <w:lang w:val="en-US"/>
        </w:rPr>
        <w:t>C</w:t>
      </w:r>
      <w:r>
        <w:rPr>
          <w:highlight w:val="none"/>
          <w:vertAlign w:val="subscript"/>
          <w:lang w:val="en-US"/>
        </w:rPr>
        <w:t>4</w:t>
      </w:r>
      <w:r>
        <w:rPr>
          <w:highlight w:val="none"/>
          <w:lang w:val="en-US"/>
        </w:rPr>
        <w:t>H</w:t>
      </w:r>
      <w:r>
        <w:rPr>
          <w:highlight w:val="none"/>
          <w:vertAlign w:val="subscript"/>
          <w:lang w:val="en-US"/>
        </w:rPr>
        <w:t>4</w:t>
      </w:r>
      <w:r>
        <w:rPr>
          <w:highlight w:val="none"/>
          <w:lang w:val="en-US"/>
        </w:rPr>
        <w:t>O</w:t>
      </w:r>
      <w:r>
        <w:rPr>
          <w:highlight w:val="none"/>
          <w:vertAlign w:val="subscript"/>
          <w:lang w:val="en-US"/>
        </w:rPr>
        <w:t>6</w:t>
      </w:r>
      <w:r>
        <w:rPr>
          <w:highlight w:val="none"/>
          <w:lang w:val="en-US"/>
        </w:rPr>
        <w:t>Na</w:t>
      </w:r>
      <w:bookmarkEnd w:id="3"/>
    </w:p>
    <w:p>
      <w:pPr>
        <w:pStyle w:val="49"/>
        <w:shd w:val="clear"/>
        <w:spacing w:line="360" w:lineRule="auto"/>
        <w:ind w:firstLine="0" w:firstLineChars="0"/>
        <w:rPr>
          <w:rFonts w:ascii="黑体" w:hAnsi="Times New Roman" w:eastAsia="黑体" w:cs="Times New Roman"/>
          <w:szCs w:val="22"/>
          <w:highlight w:val="none"/>
          <w:lang w:val="en-US" w:eastAsia="en-US"/>
        </w:rPr>
      </w:pP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2.</w:t>
      </w:r>
      <w:r>
        <w:rPr>
          <w:rFonts w:hint="eastAsia" w:ascii="黑体" w:eastAsia="黑体" w:cs="Times New Roman"/>
          <w:szCs w:val="22"/>
          <w:highlight w:val="none"/>
          <w:lang w:val="en-US" w:eastAsia="zh-CN"/>
        </w:rPr>
        <w:t>3</w:t>
      </w:r>
      <w:r>
        <w:rPr>
          <w:rFonts w:hint="eastAsia" w:ascii="黑体" w:hAnsi="Times New Roman" w:eastAsia="黑体" w:cs="Times New Roman"/>
          <w:szCs w:val="22"/>
          <w:highlight w:val="none"/>
          <w:lang w:val="en-US" w:eastAsia="zh-CN"/>
        </w:rPr>
        <w:t xml:space="preserve"> </w:t>
      </w: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结构式</w:t>
      </w:r>
    </w:p>
    <w:p>
      <w:pPr>
        <w:pStyle w:val="49"/>
        <w:shd w:val="clear"/>
        <w:spacing w:line="360" w:lineRule="auto"/>
        <w:ind w:firstLine="0" w:firstLineChars="0"/>
        <w:jc w:val="both"/>
        <w:rPr>
          <w:rFonts w:hint="default" w:eastAsia="宋体"/>
          <w:sz w:val="20"/>
          <w:szCs w:val="20"/>
          <w:highlight w:val="none"/>
          <w:lang w:val="en-US" w:eastAsia="zh-CN"/>
        </w:rPr>
      </w:pPr>
      <w:r>
        <w:rPr>
          <w:rFonts w:hint="eastAsia"/>
          <w:sz w:val="20"/>
          <w:szCs w:val="20"/>
          <w:highlight w:val="none"/>
          <w:lang w:val="en-US" w:eastAsia="zh-CN"/>
        </w:rPr>
        <w:t xml:space="preserve">    </w:t>
      </w:r>
      <w:r>
        <w:object>
          <v:shape id="_x0000_i1025" o:spt="75" type="#_x0000_t75" style="height:104.05pt;width:119.6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11">
            <o:LockedField>false</o:LockedField>
          </o:OLEObject>
        </w:object>
      </w:r>
    </w:p>
    <w:p>
      <w:pPr>
        <w:pStyle w:val="49"/>
        <w:shd w:val="clear"/>
        <w:spacing w:line="360" w:lineRule="auto"/>
        <w:ind w:firstLine="0" w:firstLineChars="0"/>
        <w:rPr>
          <w:rFonts w:ascii="黑体" w:hAnsi="Times New Roman" w:eastAsia="黑体" w:cs="Times New Roman"/>
          <w:szCs w:val="22"/>
          <w:highlight w:val="none"/>
          <w:lang w:val="en-US" w:eastAsia="en-US"/>
        </w:rPr>
      </w:pP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2.</w:t>
      </w:r>
      <w:r>
        <w:rPr>
          <w:rFonts w:hint="eastAsia" w:ascii="黑体" w:eastAsia="黑体" w:cs="Times New Roman"/>
          <w:szCs w:val="22"/>
          <w:highlight w:val="none"/>
          <w:lang w:val="en-US" w:eastAsia="zh-CN"/>
        </w:rPr>
        <w:t>4</w:t>
      </w:r>
      <w:r>
        <w:rPr>
          <w:rFonts w:hint="eastAsia" w:ascii="黑体" w:hAnsi="Times New Roman" w:eastAsia="黑体" w:cs="Times New Roman"/>
          <w:szCs w:val="22"/>
          <w:highlight w:val="none"/>
          <w:lang w:val="en-US" w:eastAsia="zh-CN"/>
        </w:rPr>
        <w:t xml:space="preserve"> </w:t>
      </w:r>
      <w:r>
        <w:rPr>
          <w:rFonts w:hint="eastAsia" w:ascii="黑体" w:eastAsia="黑体" w:cs="Times New Roman"/>
          <w:szCs w:val="22"/>
          <w:highlight w:val="none"/>
          <w:lang w:val="en-US" w:eastAsia="zh-CN"/>
        </w:rPr>
        <w:t>相对</w:t>
      </w:r>
      <w:r>
        <w:rPr>
          <w:rFonts w:ascii="黑体" w:hAnsi="Times New Roman" w:eastAsia="黑体" w:cs="Times New Roman"/>
          <w:szCs w:val="22"/>
          <w:highlight w:val="none"/>
          <w:lang w:val="en-US" w:eastAsia="en-US"/>
        </w:rPr>
        <w:t>分子质量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ind w:left="0" w:leftChars="0" w:right="0" w:firstLine="400" w:firstLineChars="200"/>
        <w:jc w:val="left"/>
        <w:textAlignment w:val="auto"/>
        <w:rPr>
          <w:highlight w:val="none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zh-CN" w:bidi="en-US"/>
        </w:rPr>
        <w:t>261.93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en-US" w:bidi="en-US"/>
        </w:rPr>
        <w:t>（按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zh-CN" w:bidi="en-US"/>
        </w:rPr>
        <w:t>2018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en-US" w:bidi="en-US"/>
        </w:rPr>
        <w:t>年</w:t>
      </w:r>
      <w:bookmarkStart w:id="4" w:name="OLE_LINK2"/>
      <w:r>
        <w:rPr>
          <w:rFonts w:ascii="Times New Roman" w:hAnsi="Times New Roman" w:eastAsia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en-US" w:bidi="en-US"/>
        </w:rPr>
        <w:t>国际相对原子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zh-CN" w:bidi="en-US"/>
        </w:rPr>
        <w:t>质量</w:t>
      </w:r>
      <w:bookmarkEnd w:id="4"/>
      <w:r>
        <w:rPr>
          <w:rFonts w:ascii="Times New Roman" w:hAnsi="Times New Roman" w:eastAsia="Times New Roman" w:cs="Times New Roman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/>
          <w:shd w:val="clear" w:color="auto" w:fill="auto"/>
          <w:lang w:val="en-US" w:eastAsia="en-US" w:bidi="en-US"/>
        </w:rPr>
        <w:t>）</w:t>
      </w:r>
    </w:p>
    <w:p>
      <w:pPr>
        <w:pStyle w:val="50"/>
        <w:shd w:val="clear"/>
        <w:spacing w:before="156" w:after="156" w:line="360" w:lineRule="auto"/>
        <w:rPr>
          <w:rFonts w:ascii="Times New Roman"/>
          <w:highlight w:val="none"/>
        </w:rPr>
      </w:pPr>
      <w:r>
        <w:rPr>
          <w:rFonts w:hint="eastAsia" w:hAnsi="黑体"/>
          <w:highlight w:val="none"/>
          <w:lang w:val="en-US" w:eastAsia="zh-CN"/>
        </w:rPr>
        <w:t>3</w:t>
      </w:r>
      <w:r>
        <w:rPr>
          <w:rFonts w:ascii="Times New Roman"/>
          <w:highlight w:val="none"/>
        </w:rPr>
        <w:t xml:space="preserve"> 技术要</w:t>
      </w:r>
      <w:r>
        <w:rPr>
          <w:rFonts w:hint="eastAsia" w:ascii="Times New Roman"/>
          <w:highlight w:val="none"/>
        </w:rPr>
        <w:t>求</w:t>
      </w:r>
    </w:p>
    <w:p>
      <w:pPr>
        <w:pStyle w:val="49"/>
        <w:shd w:val="clear"/>
        <w:spacing w:line="360" w:lineRule="auto"/>
        <w:ind w:firstLine="0" w:firstLineChars="0"/>
        <w:rPr>
          <w:highlight w:val="none"/>
        </w:rPr>
      </w:pPr>
      <w:r>
        <w:rPr>
          <w:rFonts w:hint="eastAsia" w:ascii="黑体" w:eastAsia="黑体"/>
          <w:highlight w:val="none"/>
          <w:lang w:val="en-US" w:eastAsia="zh-CN"/>
        </w:rPr>
        <w:t>3</w:t>
      </w:r>
      <w:r>
        <w:rPr>
          <w:rFonts w:ascii="黑体" w:eastAsia="黑体"/>
          <w:highlight w:val="none"/>
        </w:rPr>
        <w:t xml:space="preserve">.1 </w:t>
      </w:r>
      <w:r>
        <w:rPr>
          <w:rFonts w:hint="eastAsia" w:ascii="黑体" w:eastAsia="黑体"/>
          <w:highlight w:val="none"/>
        </w:rPr>
        <w:t>感官要求</w:t>
      </w:r>
    </w:p>
    <w:p>
      <w:pPr>
        <w:pStyle w:val="51"/>
        <w:shd w:val="clear"/>
        <w:spacing w:before="156" w:beforeLines="50" w:after="156" w:afterLines="50" w:line="360" w:lineRule="auto"/>
        <w:ind w:firstLine="420" w:firstLineChars="200"/>
        <w:rPr>
          <w:rFonts w:ascii="Times New Roman" w:eastAsia="宋体"/>
          <w:highlight w:val="none"/>
        </w:rPr>
      </w:pPr>
      <w:r>
        <w:rPr>
          <w:rFonts w:hint="eastAsia" w:ascii="Times New Roman" w:eastAsia="宋体"/>
          <w:highlight w:val="none"/>
          <w:lang w:val="en-US" w:eastAsia="zh-CN"/>
        </w:rPr>
        <w:t>感官要求</w:t>
      </w:r>
      <w:r>
        <w:rPr>
          <w:rFonts w:ascii="Times New Roman" w:eastAsia="宋体"/>
          <w:highlight w:val="none"/>
        </w:rPr>
        <w:t>应符合表1的规定。</w:t>
      </w:r>
    </w:p>
    <w:p>
      <w:pPr>
        <w:pStyle w:val="106"/>
        <w:numPr>
          <w:ilvl w:val="0"/>
          <w:numId w:val="0"/>
        </w:numPr>
        <w:shd w:val="clear"/>
        <w:spacing w:before="156" w:beforeLines="5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表</w:t>
      </w:r>
      <w:r>
        <w:rPr>
          <w:rFonts w:ascii="Times New Roman"/>
          <w:highlight w:val="none"/>
        </w:rPr>
        <w:t>1</w:t>
      </w:r>
      <w:r>
        <w:rPr>
          <w:rFonts w:hint="eastAsia" w:ascii="Times New Roman"/>
          <w:highlight w:val="none"/>
        </w:rPr>
        <w:t>感官要求</w:t>
      </w:r>
    </w:p>
    <w:tbl>
      <w:tblPr>
        <w:tblStyle w:val="25"/>
        <w:tblW w:w="852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000"/>
        <w:gridCol w:w="4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47" w:type="dxa"/>
          </w:tcPr>
          <w:p>
            <w:pPr>
              <w:pStyle w:val="167"/>
              <w:spacing w:before="40"/>
              <w:ind w:left="823" w:right="814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</w:t>
            </w:r>
          </w:p>
        </w:tc>
        <w:tc>
          <w:tcPr>
            <w:tcW w:w="2000" w:type="dxa"/>
          </w:tcPr>
          <w:p>
            <w:pPr>
              <w:pStyle w:val="167"/>
              <w:spacing w:before="40"/>
              <w:ind w:left="800" w:right="78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要求</w:t>
            </w:r>
          </w:p>
        </w:tc>
        <w:tc>
          <w:tcPr>
            <w:tcW w:w="4474" w:type="dxa"/>
          </w:tcPr>
          <w:p>
            <w:pPr>
              <w:pStyle w:val="167"/>
              <w:spacing w:before="40"/>
              <w:ind w:left="1857" w:right="1847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7" w:type="dxa"/>
          </w:tcPr>
          <w:p>
            <w:pPr>
              <w:pStyle w:val="167"/>
              <w:spacing w:before="41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色泽</w:t>
            </w:r>
          </w:p>
        </w:tc>
        <w:tc>
          <w:tcPr>
            <w:tcW w:w="2000" w:type="dxa"/>
          </w:tcPr>
          <w:p>
            <w:pPr>
              <w:pStyle w:val="167"/>
              <w:spacing w:before="41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深绿色</w:t>
            </w:r>
          </w:p>
        </w:tc>
        <w:tc>
          <w:tcPr>
            <w:tcW w:w="4474" w:type="dxa"/>
            <w:vMerge w:val="restart"/>
            <w:vAlign w:val="center"/>
          </w:tcPr>
          <w:p>
            <w:pPr>
              <w:pStyle w:val="167"/>
              <w:ind w:left="108"/>
              <w:jc w:val="both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取适量试样置于</w:t>
            </w:r>
            <w:r>
              <w:rPr>
                <w:sz w:val="18"/>
              </w:rPr>
              <w:t>50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rFonts w:hint="eastAsia" w:ascii="宋体" w:eastAsia="宋体"/>
                <w:sz w:val="18"/>
              </w:rPr>
              <w:t>烧杯中，用目测法观察。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47" w:type="dxa"/>
          </w:tcPr>
          <w:p>
            <w:pPr>
              <w:pStyle w:val="167"/>
              <w:spacing w:before="40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状态</w:t>
            </w:r>
          </w:p>
        </w:tc>
        <w:tc>
          <w:tcPr>
            <w:tcW w:w="2000" w:type="dxa"/>
          </w:tcPr>
          <w:p>
            <w:pPr>
              <w:pStyle w:val="167"/>
              <w:spacing w:before="40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液体</w:t>
            </w:r>
          </w:p>
        </w:tc>
        <w:tc>
          <w:tcPr>
            <w:tcW w:w="44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9"/>
        <w:shd w:val="clear"/>
        <w:spacing w:line="360" w:lineRule="auto"/>
        <w:ind w:left="0" w:leftChars="0" w:firstLine="0" w:firstLineChars="0"/>
        <w:rPr>
          <w:rFonts w:ascii="黑体"/>
          <w:highlight w:val="none"/>
        </w:rPr>
      </w:pPr>
      <w:r>
        <w:rPr>
          <w:rFonts w:hint="eastAsia" w:ascii="黑体" w:eastAsia="黑体"/>
          <w:highlight w:val="none"/>
          <w:lang w:val="en-US" w:eastAsia="zh-CN"/>
        </w:rPr>
        <w:t>3</w:t>
      </w:r>
      <w:r>
        <w:rPr>
          <w:rFonts w:ascii="黑体" w:eastAsia="黑体"/>
          <w:highlight w:val="none"/>
        </w:rPr>
        <w:t xml:space="preserve">.2 </w:t>
      </w:r>
      <w:r>
        <w:rPr>
          <w:rFonts w:hint="eastAsia" w:ascii="黑体" w:eastAsia="黑体"/>
          <w:highlight w:val="none"/>
        </w:rPr>
        <w:t>理化指标</w:t>
      </w:r>
    </w:p>
    <w:p>
      <w:pPr>
        <w:pStyle w:val="51"/>
        <w:shd w:val="clear"/>
        <w:spacing w:before="156" w:beforeLines="50" w:after="156" w:afterLines="50" w:line="360" w:lineRule="auto"/>
        <w:ind w:firstLine="420" w:firstLineChars="200"/>
        <w:rPr>
          <w:rFonts w:ascii="Times New Roman" w:eastAsia="宋体"/>
          <w:highlight w:val="none"/>
        </w:rPr>
      </w:pPr>
      <w:r>
        <w:rPr>
          <w:rFonts w:hint="eastAsia" w:ascii="Times New Roman" w:eastAsia="宋体"/>
          <w:highlight w:val="none"/>
          <w:lang w:val="en-US" w:eastAsia="zh-CN"/>
        </w:rPr>
        <w:t>理化指标</w:t>
      </w:r>
      <w:r>
        <w:rPr>
          <w:rFonts w:ascii="Times New Roman" w:eastAsia="宋体"/>
          <w:highlight w:val="none"/>
        </w:rPr>
        <w:t>应符合表2的规定。</w:t>
      </w:r>
      <w:bookmarkEnd w:id="2"/>
    </w:p>
    <w:p>
      <w:pPr>
        <w:pStyle w:val="106"/>
        <w:numPr>
          <w:ilvl w:val="0"/>
          <w:numId w:val="0"/>
        </w:numPr>
        <w:shd w:val="clear"/>
        <w:spacing w:before="156" w:beforeLines="50"/>
        <w:jc w:val="center"/>
        <w:rPr>
          <w:rFonts w:hAnsi="黑体"/>
          <w:szCs w:val="21"/>
          <w:highlight w:val="none"/>
        </w:rPr>
      </w:pPr>
      <w:r>
        <w:rPr>
          <w:rFonts w:hint="eastAsia" w:ascii="Times New Roman"/>
          <w:highlight w:val="none"/>
        </w:rPr>
        <w:t>表</w:t>
      </w:r>
      <w:r>
        <w:rPr>
          <w:rFonts w:ascii="Times New Roman"/>
          <w:highlight w:val="none"/>
        </w:rPr>
        <w:t>2</w:t>
      </w:r>
      <w:r>
        <w:rPr>
          <w:rFonts w:hint="eastAsia" w:ascii="Times New Roman"/>
          <w:highlight w:val="none"/>
        </w:rPr>
        <w:t>理化指标</w:t>
      </w:r>
    </w:p>
    <w:tbl>
      <w:tblPr>
        <w:tblStyle w:val="2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951"/>
        <w:gridCol w:w="1810"/>
        <w:gridCol w:w="2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732" w:type="pct"/>
            <w:gridSpan w:val="2"/>
          </w:tcPr>
          <w:p>
            <w:pPr>
              <w:pStyle w:val="167"/>
              <w:spacing w:before="97"/>
              <w:ind w:left="2127" w:right="211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项目</w:t>
            </w:r>
          </w:p>
        </w:tc>
        <w:tc>
          <w:tcPr>
            <w:tcW w:w="938" w:type="pct"/>
          </w:tcPr>
          <w:p>
            <w:pPr>
              <w:pStyle w:val="167"/>
              <w:spacing w:before="97"/>
              <w:ind w:left="599" w:right="590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指标</w:t>
            </w:r>
          </w:p>
        </w:tc>
        <w:tc>
          <w:tcPr>
            <w:tcW w:w="1328" w:type="pct"/>
          </w:tcPr>
          <w:p>
            <w:pPr>
              <w:pStyle w:val="167"/>
              <w:spacing w:before="97"/>
              <w:ind w:left="752" w:right="743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105"/>
              <w:ind w:left="107"/>
              <w:rPr>
                <w:sz w:val="18"/>
              </w:rPr>
            </w:pPr>
            <w:r>
              <w:rPr>
                <w:rFonts w:hint="eastAsia" w:ascii="宋体" w:eastAsia="宋体"/>
                <w:kern w:val="0"/>
                <w:sz w:val="18"/>
                <w:szCs w:val="22"/>
                <w:lang w:val="zh-CN" w:bidi="zh-CN"/>
              </w:rPr>
              <w:t>内消旋酒石酸（以干基计二钠盐）</w:t>
            </w:r>
            <w:r>
              <w:rPr>
                <w:rFonts w:hint="eastAsia"/>
                <w:sz w:val="18"/>
              </w:rPr>
              <w:t>，</w:t>
            </w:r>
            <w:r>
              <w:rPr>
                <w:i/>
                <w:iCs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105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≥</w:t>
            </w:r>
          </w:p>
        </w:tc>
        <w:tc>
          <w:tcPr>
            <w:tcW w:w="938" w:type="pct"/>
          </w:tcPr>
          <w:p>
            <w:pPr>
              <w:pStyle w:val="167"/>
              <w:spacing w:before="115"/>
              <w:ind w:left="599" w:right="59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37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105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</w:rPr>
              <w:t>附录</w:t>
            </w:r>
            <w:r>
              <w:rPr>
                <w:sz w:val="18"/>
              </w:rPr>
              <w:t xml:space="preserve">A </w:t>
            </w:r>
            <w:r>
              <w:rPr>
                <w:rFonts w:hint="eastAsia" w:ascii="宋体" w:eastAsia="宋体"/>
                <w:sz w:val="18"/>
              </w:rPr>
              <w:t xml:space="preserve">中 </w:t>
            </w:r>
            <w:r>
              <w:rPr>
                <w:sz w:val="18"/>
              </w:rPr>
              <w:t>A.</w:t>
            </w: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D-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>L-</w:t>
            </w:r>
            <w:r>
              <w:rPr>
                <w:rFonts w:hint="eastAsia"/>
                <w:sz w:val="18"/>
              </w:rPr>
              <w:t>酒石酸（以干基计二钠盐），</w:t>
            </w:r>
            <w:r>
              <w:rPr>
                <w:i/>
                <w:iCs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7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≥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9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14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97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</w:rPr>
              <w:t>附录</w:t>
            </w:r>
            <w:r>
              <w:rPr>
                <w:sz w:val="18"/>
              </w:rPr>
              <w:t xml:space="preserve">A </w:t>
            </w:r>
            <w:r>
              <w:rPr>
                <w:rFonts w:hint="eastAsia" w:ascii="宋体" w:eastAsia="宋体"/>
                <w:sz w:val="18"/>
              </w:rPr>
              <w:t xml:space="preserve">中 </w:t>
            </w:r>
            <w:r>
              <w:rPr>
                <w:sz w:val="18"/>
              </w:rPr>
              <w:t>A.</w:t>
            </w: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7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草酸盐（以干基计草酸），</w:t>
            </w:r>
            <w:r>
              <w:rPr>
                <w:i/>
                <w:iCs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7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≤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8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328" w:type="pct"/>
          </w:tcPr>
          <w:p>
            <w:pPr>
              <w:pStyle w:val="167"/>
              <w:spacing w:before="97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</w:rPr>
              <w:t>附录</w:t>
            </w:r>
            <w:r>
              <w:rPr>
                <w:sz w:val="18"/>
              </w:rPr>
              <w:t xml:space="preserve">A </w:t>
            </w:r>
            <w:r>
              <w:rPr>
                <w:rFonts w:hint="eastAsia" w:ascii="宋体" w:eastAsia="宋体"/>
                <w:sz w:val="18"/>
              </w:rPr>
              <w:t xml:space="preserve">中 </w:t>
            </w:r>
            <w:r>
              <w:rPr>
                <w:sz w:val="18"/>
              </w:rPr>
              <w:t>A.</w:t>
            </w: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7"/>
              <w:ind w:left="107"/>
              <w:rPr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铁（Fe）（以干基计）</w:t>
            </w:r>
            <w:r>
              <w:rPr>
                <w:rFonts w:hint="eastAsia"/>
                <w:sz w:val="18"/>
              </w:rPr>
              <w:t>，</w:t>
            </w:r>
            <w:r>
              <w:rPr>
                <w:i/>
                <w:iCs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7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≥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1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8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106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GB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5009.90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7"/>
              <w:ind w:left="107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水分，</w:t>
            </w:r>
            <w:r>
              <w:rPr>
                <w:i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7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≥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9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65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106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GB 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5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氯（</w:t>
            </w:r>
            <w:r>
              <w:rPr>
                <w:sz w:val="18"/>
              </w:rPr>
              <w:t>Cl</w:t>
            </w:r>
            <w:r>
              <w:rPr>
                <w:rFonts w:hint="eastAsia"/>
                <w:sz w:val="18"/>
              </w:rPr>
              <w:t>）（以干基计），</w:t>
            </w:r>
            <w:r>
              <w:rPr>
                <w:i/>
                <w:iCs/>
                <w:sz w:val="18"/>
              </w:rPr>
              <w:t>w</w:t>
            </w:r>
            <w:r>
              <w:rPr>
                <w:sz w:val="18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5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≤</w:t>
            </w:r>
          </w:p>
        </w:tc>
        <w:tc>
          <w:tcPr>
            <w:tcW w:w="938" w:type="pct"/>
          </w:tcPr>
          <w:p>
            <w:pPr>
              <w:pStyle w:val="167"/>
              <w:spacing w:before="105"/>
              <w:ind w:left="599" w:right="59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25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105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GB 5009.44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5"/>
              <w:ind w:left="107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钠（Na）（以干基计），</w:t>
            </w:r>
            <w:r>
              <w:rPr>
                <w:rFonts w:hint="eastAsia" w:eastAsia="宋体"/>
                <w:i/>
                <w:iCs/>
                <w:sz w:val="18"/>
                <w:lang w:val="en-US" w:eastAsia="zh-CN"/>
              </w:rPr>
              <w:t>w</w:t>
            </w:r>
            <w:r>
              <w:rPr>
                <w:rFonts w:hint="eastAsia" w:eastAsia="宋体"/>
                <w:sz w:val="18"/>
                <w:lang w:val="en-US" w:eastAsia="zh-CN"/>
              </w:rPr>
              <w:t>/%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5"/>
              <w:ind w:right="105" w:rightChars="50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≤</w:t>
            </w:r>
          </w:p>
        </w:tc>
        <w:tc>
          <w:tcPr>
            <w:tcW w:w="938" w:type="pct"/>
          </w:tcPr>
          <w:p>
            <w:pPr>
              <w:pStyle w:val="167"/>
              <w:spacing w:before="105"/>
              <w:ind w:left="599" w:right="59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23</w:t>
            </w:r>
            <w:r>
              <w:rPr>
                <w:rFonts w:hint="eastAsia" w:eastAsia="宋体"/>
                <w:sz w:val="18"/>
                <w:lang w:val="en-US" w:eastAsia="zh-CN"/>
              </w:rPr>
              <w:t>.0</w:t>
            </w:r>
          </w:p>
        </w:tc>
        <w:tc>
          <w:tcPr>
            <w:tcW w:w="1328" w:type="pct"/>
          </w:tcPr>
          <w:p>
            <w:pPr>
              <w:pStyle w:val="167"/>
              <w:spacing w:before="105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GB 5009.91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5"/>
              <w:ind w:left="107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砷（以</w:t>
            </w:r>
            <w:r>
              <w:rPr>
                <w:sz w:val="18"/>
                <w:szCs w:val="18"/>
              </w:rPr>
              <w:t>As</w:t>
            </w:r>
            <w:r>
              <w:rPr>
                <w:rFonts w:hint="eastAsia"/>
                <w:sz w:val="18"/>
                <w:szCs w:val="18"/>
              </w:rPr>
              <w:t>计）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>/（mg/kg）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5"/>
              <w:ind w:left="107" w:right="105" w:rightChars="50"/>
              <w:rPr>
                <w:rFonts w:ascii="宋体" w:eastAsia="宋体"/>
                <w:sz w:val="18"/>
              </w:rPr>
            </w:pPr>
            <w:r>
              <w:rPr>
                <w:rFonts w:hint="eastAsia" w:ascii="宋体" w:hAnsi="宋体" w:eastAsiaTheme="minorEastAsia"/>
                <w:sz w:val="18"/>
              </w:rPr>
              <w:t xml:space="preserve">     </w:t>
            </w:r>
            <w:r>
              <w:rPr>
                <w:rFonts w:hint="eastAsia" w:ascii="宋体" w:hAnsi="宋体" w:eastAsiaTheme="minorEastAsia"/>
                <w:sz w:val="18"/>
                <w:lang w:val="en-US" w:eastAsia="zh-CN"/>
              </w:rPr>
              <w:t xml:space="preserve"> </w:t>
            </w:r>
            <w:bookmarkStart w:id="5" w:name="OLE_LINK8"/>
            <w:r>
              <w:rPr>
                <w:rFonts w:ascii="宋体" w:hAnsi="宋体"/>
                <w:sz w:val="18"/>
              </w:rPr>
              <w:t>≤</w:t>
            </w:r>
            <w:bookmarkEnd w:id="5"/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90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328" w:type="pct"/>
          </w:tcPr>
          <w:p>
            <w:pPr>
              <w:pStyle w:val="167"/>
              <w:spacing w:before="106"/>
              <w:ind w:left="108"/>
              <w:rPr>
                <w:sz w:val="18"/>
              </w:rPr>
            </w:pPr>
            <w:r>
              <w:rPr>
                <w:sz w:val="18"/>
                <w:szCs w:val="18"/>
                <w:highlight w:val="none"/>
              </w:rPr>
              <w:t>GB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>5009.11</w:t>
            </w:r>
            <w:r>
              <w:rPr>
                <w:rFonts w:hint="eastAsia"/>
                <w:sz w:val="18"/>
                <w:szCs w:val="18"/>
                <w:highlight w:val="none"/>
              </w:rPr>
              <w:t>或</w:t>
            </w:r>
            <w:r>
              <w:rPr>
                <w:sz w:val="18"/>
                <w:szCs w:val="18"/>
                <w:highlight w:val="none"/>
              </w:rPr>
              <w:t>GB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>5009.76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5"/>
              <w:ind w:left="107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铅（Pb）/（mg/kg）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5"/>
              <w:ind w:left="107" w:right="105" w:rightChars="50"/>
              <w:rPr>
                <w:rFonts w:ascii="宋体" w:eastAsia="宋体"/>
                <w:sz w:val="18"/>
              </w:rPr>
            </w:pPr>
            <w:r>
              <w:rPr>
                <w:rFonts w:hint="eastAsia" w:ascii="宋体" w:hAnsi="宋体" w:eastAsiaTheme="minorEastAsia"/>
                <w:sz w:val="18"/>
              </w:rPr>
              <w:t xml:space="preserve">     </w:t>
            </w:r>
            <w:r>
              <w:rPr>
                <w:rFonts w:hint="eastAsia" w:ascii="宋体" w:hAnsi="宋体" w:eastAsiaTheme="minorEastAsia"/>
                <w:sz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</w:rPr>
              <w:t>≤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90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28" w:type="pct"/>
          </w:tcPr>
          <w:p>
            <w:pPr>
              <w:pStyle w:val="167"/>
              <w:spacing w:before="106"/>
              <w:ind w:left="108"/>
              <w:rPr>
                <w:sz w:val="18"/>
              </w:rPr>
            </w:pPr>
            <w:bookmarkStart w:id="6" w:name="OLE_LINK7"/>
            <w:r>
              <w:rPr>
                <w:sz w:val="18"/>
                <w:szCs w:val="18"/>
                <w:highlight w:val="none"/>
              </w:rPr>
              <w:t>GB 5009.12</w:t>
            </w:r>
            <w:r>
              <w:rPr>
                <w:rFonts w:hint="eastAsia"/>
                <w:sz w:val="18"/>
                <w:szCs w:val="18"/>
                <w:highlight w:val="none"/>
              </w:rPr>
              <w:t>或</w:t>
            </w:r>
            <w:r>
              <w:rPr>
                <w:sz w:val="18"/>
                <w:szCs w:val="18"/>
                <w:highlight w:val="none"/>
              </w:rPr>
              <w:t>GB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>5009.75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9" w:type="pct"/>
            <w:tcBorders>
              <w:right w:val="nil"/>
            </w:tcBorders>
          </w:tcPr>
          <w:p>
            <w:pPr>
              <w:pStyle w:val="167"/>
              <w:spacing w:before="95"/>
              <w:ind w:left="107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汞（Hg）/（mg/kg）</w:t>
            </w:r>
          </w:p>
        </w:tc>
        <w:tc>
          <w:tcPr>
            <w:tcW w:w="493" w:type="pct"/>
            <w:tcBorders>
              <w:left w:val="nil"/>
            </w:tcBorders>
          </w:tcPr>
          <w:p>
            <w:pPr>
              <w:pStyle w:val="167"/>
              <w:spacing w:before="95"/>
              <w:ind w:left="107" w:right="105" w:rightChars="5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   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18"/>
              </w:rPr>
              <w:t>≤</w:t>
            </w:r>
          </w:p>
        </w:tc>
        <w:tc>
          <w:tcPr>
            <w:tcW w:w="938" w:type="pct"/>
          </w:tcPr>
          <w:p>
            <w:pPr>
              <w:pStyle w:val="167"/>
              <w:spacing w:before="106"/>
              <w:ind w:left="599" w:right="590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328" w:type="pct"/>
          </w:tcPr>
          <w:p>
            <w:pPr>
              <w:pStyle w:val="167"/>
              <w:spacing w:before="106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GB 5009.17</w:t>
            </w:r>
          </w:p>
        </w:tc>
      </w:tr>
    </w:tbl>
    <w:p>
      <w:pPr>
        <w:widowControl/>
        <w:shd w:val="clear"/>
        <w:jc w:val="left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br w:type="page"/>
      </w:r>
    </w:p>
    <w:p>
      <w:pPr>
        <w:pStyle w:val="2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Times New Roman" w:hAnsi="Times New Roman" w:eastAsia="黑体" w:cs="Times New Roman"/>
          <w:kern w:val="0"/>
          <w:szCs w:val="21"/>
          <w:highlight w:val="none"/>
          <w:lang w:val="zh-CN"/>
        </w:rPr>
      </w:pPr>
      <w:bookmarkStart w:id="7" w:name="_Toc340232123"/>
      <w:r>
        <w:rPr>
          <w:rFonts w:hint="eastAsia" w:ascii="Times New Roman" w:hAnsi="Times New Roman" w:eastAsia="黑体" w:cs="Times New Roman"/>
          <w:b w:val="0"/>
          <w:kern w:val="0"/>
          <w:sz w:val="21"/>
          <w:szCs w:val="21"/>
          <w:highlight w:val="none"/>
          <w:lang w:val="zh-CN"/>
        </w:rPr>
        <w:t>附</w:t>
      </w:r>
      <w:r>
        <w:rPr>
          <w:rFonts w:hint="eastAsia" w:ascii="Times New Roman" w:hAnsi="Times New Roman" w:eastAsia="黑体" w:cs="Times New Roman"/>
          <w:b w:val="0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 w:val="0"/>
          <w:kern w:val="0"/>
          <w:sz w:val="21"/>
          <w:szCs w:val="21"/>
          <w:highlight w:val="none"/>
          <w:lang w:val="zh-CN"/>
        </w:rPr>
        <w:t>录</w:t>
      </w:r>
      <w:r>
        <w:rPr>
          <w:rFonts w:hint="eastAsia" w:ascii="Times New Roman" w:hAnsi="Times New Roman" w:eastAsia="黑体" w:cs="Times New Roman"/>
          <w:b w:val="0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kern w:val="0"/>
          <w:sz w:val="21"/>
          <w:szCs w:val="21"/>
          <w:highlight w:val="none"/>
          <w:lang w:val="zh-CN"/>
        </w:rPr>
        <w:t>A</w:t>
      </w:r>
      <w:bookmarkEnd w:id="7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/>
          <w:kern w:val="0"/>
          <w:szCs w:val="21"/>
          <w:highlight w:val="none"/>
          <w:lang w:val="zh-CN"/>
        </w:rPr>
      </w:pPr>
      <w:r>
        <w:rPr>
          <w:rFonts w:hint="eastAsia" w:ascii="黑体" w:hAnsi="黑体" w:eastAsia="黑体"/>
          <w:kern w:val="0"/>
          <w:szCs w:val="21"/>
          <w:highlight w:val="none"/>
          <w:lang w:val="zh-CN"/>
        </w:rPr>
        <w:t>检验方法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240" w:lineRule="auto"/>
        <w:textAlignment w:val="center"/>
        <w:outlineLvl w:val="1"/>
        <w:rPr>
          <w:rFonts w:hint="default" w:hAnsi="黑体"/>
          <w:szCs w:val="21"/>
          <w:highlight w:val="none"/>
          <w:lang w:val="en-US" w:eastAsia="en-US"/>
        </w:rPr>
      </w:pP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60" w:lineRule="auto"/>
        <w:textAlignment w:val="center"/>
        <w:outlineLvl w:val="1"/>
        <w:rPr>
          <w:rFonts w:hint="default" w:hAnsi="黑体"/>
          <w:szCs w:val="21"/>
          <w:highlight w:val="none"/>
          <w:lang w:val="en-US"/>
        </w:rPr>
      </w:pPr>
      <w:r>
        <w:rPr>
          <w:rFonts w:hint="default" w:hAnsi="黑体"/>
          <w:szCs w:val="21"/>
          <w:highlight w:val="none"/>
          <w:lang w:val="en-US" w:eastAsia="en-US"/>
        </w:rPr>
        <w:t xml:space="preserve">A.1 </w:t>
      </w:r>
      <w:r>
        <w:rPr>
          <w:rFonts w:hint="default" w:hAnsi="黑体"/>
          <w:szCs w:val="21"/>
          <w:highlight w:val="none"/>
          <w:lang w:val="en-US" w:eastAsia="zh-CN"/>
        </w:rPr>
        <w:t xml:space="preserve"> </w:t>
      </w:r>
      <w:r>
        <w:rPr>
          <w:rFonts w:hint="eastAsia" w:hAnsi="黑体"/>
          <w:szCs w:val="21"/>
          <w:highlight w:val="none"/>
          <w:lang w:val="en-US" w:eastAsia="zh-CN"/>
        </w:rPr>
        <w:t>警示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20" w:lineRule="exact"/>
        <w:ind w:left="0" w:right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本标准的检验方法中使用的部分试剂具有毒性或腐蚀性，操作时应采取适当的安全和防护措施。如溅到皮肤上，应立即用水冲洗，严重者应立即治疗。在使用挥发性酸时，需在通风橱中进行。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60" w:lineRule="auto"/>
        <w:textAlignment w:val="center"/>
        <w:outlineLvl w:val="1"/>
        <w:rPr>
          <w:rFonts w:hint="default" w:hAnsi="黑体"/>
          <w:szCs w:val="21"/>
          <w:highlight w:val="none"/>
        </w:rPr>
      </w:pPr>
      <w:r>
        <w:rPr>
          <w:rFonts w:hint="default" w:hAnsi="黑体"/>
          <w:szCs w:val="21"/>
          <w:highlight w:val="none"/>
          <w:lang w:val="en-US" w:eastAsia="en-US"/>
        </w:rPr>
        <w:t>A.</w:t>
      </w:r>
      <w:r>
        <w:rPr>
          <w:rFonts w:hint="eastAsia" w:hAnsi="黑体"/>
          <w:szCs w:val="21"/>
          <w:highlight w:val="none"/>
          <w:lang w:val="en-US" w:eastAsia="zh-CN"/>
        </w:rPr>
        <w:t>2</w:t>
      </w:r>
      <w:r>
        <w:rPr>
          <w:rFonts w:hint="default" w:hAnsi="黑体"/>
          <w:szCs w:val="21"/>
          <w:highlight w:val="none"/>
          <w:lang w:val="en-US" w:eastAsia="en-US"/>
        </w:rPr>
        <w:t xml:space="preserve"> </w:t>
      </w:r>
      <w:r>
        <w:rPr>
          <w:rFonts w:hint="default" w:hAnsi="黑体"/>
          <w:szCs w:val="21"/>
          <w:highlight w:val="none"/>
          <w:lang w:val="en-US" w:eastAsia="zh-CN"/>
        </w:rPr>
        <w:t xml:space="preserve"> </w:t>
      </w:r>
      <w:r>
        <w:rPr>
          <w:rFonts w:hint="default" w:hAnsi="黑体"/>
          <w:szCs w:val="21"/>
          <w:highlight w:val="none"/>
        </w:rPr>
        <w:t>一般规定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20" w:lineRule="exact"/>
        <w:ind w:left="0" w:leftChars="0" w:right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本标准所用试剂和水，在没有注明其他要求时，均指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分析纯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试剂和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G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B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/T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6682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中规定的三级水。试验中所用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标准溶液、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杂质测定用标准溶液、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制剂及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其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制品，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在没有注明其他要求时，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均按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GB/T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601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GB/T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60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GB/T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603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的规定制备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试验中所用溶液在未注明用何种溶剂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配制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  <w:t>时，均指水溶液。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60" w:lineRule="auto"/>
        <w:textAlignment w:val="center"/>
        <w:outlineLvl w:val="1"/>
        <w:rPr>
          <w:rFonts w:hint="default" w:hAnsi="黑体"/>
          <w:szCs w:val="21"/>
          <w:highlight w:val="none"/>
          <w:lang w:val="en-US" w:eastAsia="en-US"/>
        </w:rPr>
      </w:pPr>
      <w:r>
        <w:rPr>
          <w:rFonts w:hint="default" w:hAnsi="黑体"/>
          <w:szCs w:val="21"/>
          <w:highlight w:val="none"/>
          <w:lang w:val="en-US" w:eastAsia="en-US"/>
        </w:rPr>
        <w:t>A.</w:t>
      </w:r>
      <w:r>
        <w:rPr>
          <w:rFonts w:hint="eastAsia" w:hAnsi="黑体"/>
          <w:szCs w:val="21"/>
          <w:highlight w:val="none"/>
          <w:lang w:val="en-US" w:eastAsia="zh-CN"/>
        </w:rPr>
        <w:t>3</w:t>
      </w:r>
      <w:r>
        <w:rPr>
          <w:rFonts w:hint="default" w:hAnsi="黑体"/>
          <w:szCs w:val="21"/>
          <w:highlight w:val="none"/>
          <w:lang w:val="en-US" w:eastAsia="zh-CN"/>
        </w:rPr>
        <w:t xml:space="preserve">  </w:t>
      </w:r>
      <w:r>
        <w:rPr>
          <w:rFonts w:hint="eastAsia" w:ascii="黑体" w:eastAsia="黑体"/>
          <w:sz w:val="21"/>
        </w:rPr>
        <w:t>内消旋酒石酸、D-</w:t>
      </w:r>
      <w:r>
        <w:rPr>
          <w:rFonts w:hint="eastAsia" w:ascii="黑体" w:eastAsia="黑体"/>
          <w:spacing w:val="-27"/>
          <w:sz w:val="21"/>
        </w:rPr>
        <w:t xml:space="preserve">及 </w:t>
      </w:r>
      <w:r>
        <w:rPr>
          <w:rFonts w:hint="eastAsia" w:ascii="黑体" w:eastAsia="黑体"/>
          <w:sz w:val="21"/>
        </w:rPr>
        <w:t>L-酒石酸、草酸含量的测定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textAlignment w:val="baseline"/>
        <w:outlineLvl w:val="1"/>
        <w:rPr>
          <w:rFonts w:hint="default" w:hAnsi="黑体"/>
          <w:szCs w:val="21"/>
          <w:highlight w:val="none"/>
          <w:lang w:val="en-US"/>
        </w:rPr>
      </w:pPr>
      <w:r>
        <w:rPr>
          <w:rFonts w:hint="default" w:hAnsi="黑体"/>
          <w:szCs w:val="21"/>
          <w:highlight w:val="none"/>
          <w:lang w:val="en-US" w:eastAsia="en-US"/>
        </w:rPr>
        <w:t>A.</w:t>
      </w:r>
      <w:r>
        <w:rPr>
          <w:rFonts w:hint="eastAsia" w:hAnsi="黑体"/>
          <w:szCs w:val="21"/>
          <w:highlight w:val="none"/>
          <w:lang w:val="en-US" w:eastAsia="zh-CN"/>
        </w:rPr>
        <w:t>3</w:t>
      </w:r>
      <w:r>
        <w:rPr>
          <w:rFonts w:hint="default" w:hAnsi="黑体"/>
          <w:szCs w:val="21"/>
          <w:highlight w:val="none"/>
          <w:lang w:val="en-US" w:eastAsia="en-US"/>
        </w:rPr>
        <w:t>.1</w:t>
      </w:r>
      <w:r>
        <w:rPr>
          <w:rFonts w:hint="default" w:hAnsi="黑体"/>
          <w:szCs w:val="21"/>
          <w:highlight w:val="none"/>
          <w:lang w:val="en-US" w:eastAsia="zh-CN"/>
        </w:rPr>
        <w:t xml:space="preserve">  </w:t>
      </w:r>
      <w:r>
        <w:rPr>
          <w:rFonts w:hint="eastAsia" w:hAnsi="黑体"/>
          <w:szCs w:val="21"/>
          <w:highlight w:val="none"/>
          <w:lang w:val="en-US" w:eastAsia="zh-CN"/>
        </w:rPr>
        <w:t>方法提要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  <w:t>酒石酸铁与过量的氢氧化物反应分解，经过滤形成的Fe(OH)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vertAlign w:val="subscript"/>
          <w:lang w:val="zh-TW" w:eastAsia="zh-TW" w:bidi="zh-TW"/>
        </w:rPr>
        <w:t>3</w:t>
      </w:r>
      <w:r>
        <w:rPr>
          <w:rFonts w:hint="eastAsia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vertAlign w:val="baseline"/>
          <w:lang w:val="zh-TW" w:eastAsia="zh-CN" w:bidi="zh-TW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  <w:t>使用有机酸色谱柱为固定相，将0.01 mol/L的硫酸作为流动相，利用液相色谱法分离组分</w:t>
      </w:r>
      <w:r>
        <w:rPr>
          <w:rFonts w:hint="eastAsia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CN" w:bidi="zh-TW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  <w:t>使用示差折光检测器检测，借助外标进行计算。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A.3.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2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试剂和材料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1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zh-TW"/>
        </w:rPr>
        <w:t>硫酸溶液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zh-TW" w:eastAsia="zh-TW" w:bidi="zh-TW"/>
        </w:rPr>
        <w:t>：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0.01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mol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/L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 xml:space="preserve"> </w:t>
      </w:r>
      <w:r>
        <w:rPr>
          <w:sz w:val="21"/>
        </w:rPr>
        <w:t>一水合内消旋酒石酸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zh-TW" w:eastAsia="zh-TW" w:bidi="zh-TW"/>
        </w:rPr>
        <w:t>：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zh-TW"/>
        </w:rPr>
        <w:t>纯度</w:t>
      </w:r>
      <w:r>
        <w:rPr>
          <w:rFonts w:ascii="Times New Roman" w:eastAsia="Times New Roman"/>
          <w:spacing w:val="-1"/>
          <w:sz w:val="21"/>
        </w:rPr>
        <w:t xml:space="preserve">&gt; </w:t>
      </w:r>
      <w:r>
        <w:rPr>
          <w:rFonts w:ascii="Times New Roman" w:eastAsia="Times New Roman"/>
          <w:sz w:val="21"/>
        </w:rPr>
        <w:t>98</w:t>
      </w:r>
      <w:r>
        <w:rPr>
          <w:rFonts w:ascii="Times New Roman" w:eastAsia="Times New Roman"/>
          <w:spacing w:val="17"/>
          <w:sz w:val="21"/>
        </w:rPr>
        <w:t xml:space="preserve"> %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zh-TW" w:eastAsia="zh-TW" w:bidi="zh-TW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bookmarkStart w:id="8" w:name="OLE_LINK4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bookmarkEnd w:id="8"/>
      <w:r>
        <w:rPr>
          <w:rFonts w:ascii="Times New Roman" w:eastAsia="Times New Roman"/>
          <w:sz w:val="21"/>
        </w:rPr>
        <w:t>D-</w:t>
      </w:r>
      <w:r>
        <w:rPr>
          <w:sz w:val="21"/>
        </w:rPr>
        <w:t>酒石酸</w:t>
      </w:r>
      <w:r>
        <w:rPr>
          <w:rFonts w:hint="eastAsia"/>
          <w:sz w:val="21"/>
          <w:lang w:eastAsia="zh-CN"/>
        </w:rPr>
        <w:t>：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zh-TW"/>
        </w:rPr>
        <w:t>纯度</w:t>
      </w:r>
      <w:r>
        <w:rPr>
          <w:rFonts w:ascii="Times New Roman" w:eastAsia="Times New Roman"/>
          <w:spacing w:val="-1"/>
          <w:sz w:val="21"/>
        </w:rPr>
        <w:t xml:space="preserve">&gt; </w:t>
      </w:r>
      <w:r>
        <w:rPr>
          <w:rFonts w:ascii="Times New Roman" w:eastAsia="Times New Roman"/>
          <w:sz w:val="21"/>
        </w:rPr>
        <w:t>99</w:t>
      </w:r>
      <w:r>
        <w:rPr>
          <w:rFonts w:ascii="Times New Roman" w:eastAsia="Times New Roman"/>
          <w:spacing w:val="-1"/>
          <w:sz w:val="21"/>
        </w:rPr>
        <w:t xml:space="preserve"> %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sz w:val="21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ascii="Times New Roman" w:eastAsia="Times New Roman"/>
          <w:sz w:val="21"/>
        </w:rPr>
        <w:t>L-</w:t>
      </w:r>
      <w:r>
        <w:rPr>
          <w:sz w:val="21"/>
        </w:rPr>
        <w:t>酒石酸</w:t>
      </w:r>
      <w:r>
        <w:rPr>
          <w:rFonts w:hint="eastAsia"/>
          <w:sz w:val="21"/>
          <w:lang w:eastAsia="zh-CN"/>
        </w:rPr>
        <w:t>：</w:t>
      </w:r>
      <w:r>
        <w:rPr>
          <w:rFonts w:hint="eastAsia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zh-TW"/>
        </w:rPr>
        <w:t>纯度</w:t>
      </w:r>
      <w:r>
        <w:rPr>
          <w:rFonts w:ascii="Times New Roman" w:eastAsia="Times New Roman"/>
          <w:spacing w:val="-1"/>
          <w:sz w:val="21"/>
        </w:rPr>
        <w:t xml:space="preserve">&gt; </w:t>
      </w:r>
      <w:r>
        <w:rPr>
          <w:rFonts w:ascii="Times New Roman" w:eastAsia="Times New Roman"/>
          <w:sz w:val="21"/>
        </w:rPr>
        <w:t>99 %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sz w:val="21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sz w:val="21"/>
        </w:rPr>
        <w:t>二水合草酸</w:t>
      </w:r>
      <w:r>
        <w:rPr>
          <w:rFonts w:hint="eastAsia"/>
          <w:sz w:val="21"/>
          <w:lang w:eastAsia="zh-CN"/>
        </w:rPr>
        <w:t>：</w:t>
      </w:r>
      <w:r>
        <w:rPr>
          <w:rFonts w:hint="eastAsia"/>
          <w:sz w:val="21"/>
          <w:lang w:val="en-US" w:eastAsia="zh-CN"/>
        </w:rPr>
        <w:t>纯度</w:t>
      </w:r>
      <w:r>
        <w:rPr>
          <w:rFonts w:ascii="Times New Roman" w:eastAsia="Times New Roman"/>
          <w:spacing w:val="-1"/>
          <w:sz w:val="21"/>
        </w:rPr>
        <w:t xml:space="preserve">&gt; </w:t>
      </w:r>
      <w:r>
        <w:rPr>
          <w:rFonts w:ascii="Times New Roman" w:eastAsia="Times New Roman"/>
          <w:sz w:val="21"/>
        </w:rPr>
        <w:t>99 %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sz w:val="21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6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spacing w:val="-6"/>
          <w:sz w:val="21"/>
        </w:rPr>
        <w:t>氢氧化钠溶液</w:t>
      </w:r>
      <w:r>
        <w:rPr>
          <w:rFonts w:hint="eastAsia"/>
          <w:spacing w:val="-6"/>
          <w:sz w:val="21"/>
          <w:lang w:eastAsia="zh-CN"/>
        </w:rPr>
        <w:t>：</w:t>
      </w:r>
      <w:r>
        <w:rPr>
          <w:rFonts w:ascii="Times New Roman" w:eastAsia="Times New Roman"/>
          <w:sz w:val="21"/>
        </w:rPr>
        <w:t>5 mol/L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eastAsia"/>
          <w:sz w:val="21"/>
          <w:lang w:val="en-US" w:eastAsia="en-US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7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/>
          <w:spacing w:val="-6"/>
          <w:sz w:val="21"/>
          <w:lang w:val="en-US" w:eastAsia="zh-CN"/>
        </w:rPr>
        <w:t>酒石酸铁样品：</w:t>
      </w:r>
      <w:r>
        <w:rPr>
          <w:spacing w:val="-7"/>
        </w:rPr>
        <w:t>试样贮存在密闭的棕色瓶中，与氧气隔离。如果样品瓶无法装满，需充入氮气将样品覆</w:t>
      </w:r>
      <w:r>
        <w:t>盖。避光（紫外线）并置于冰箱低温（</w:t>
      </w:r>
      <w:r>
        <w:rPr>
          <w:rFonts w:ascii="Times New Roman" w:hAnsi="Times New Roman" w:eastAsia="Times New Roman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°C</w:t>
      </w:r>
      <w:r>
        <w:t>）保存。样品溶液在</w:t>
      </w:r>
      <w:r>
        <w:rPr>
          <w:rFonts w:ascii="Times New Roman" w:hAnsi="Times New Roman" w:eastAsia="Times New Roman"/>
        </w:rPr>
        <w:t>2</w:t>
      </w:r>
      <w:r>
        <w:t>周内保持稳定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A.3.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仪器与设备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高效液相色谱仪：示差折光检测器。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</w:rPr>
        <w:t>泵。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</w:rPr>
        <w:t>自动进样器：配备</w:t>
      </w:r>
      <w:r>
        <w:rPr>
          <w:rFonts w:ascii="Times New Roman" w:hAnsi="Times New Roman" w:eastAsia="Times New Roman"/>
          <w:sz w:val="21"/>
        </w:rPr>
        <w:t>20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µL</w:t>
      </w:r>
      <w:r>
        <w:rPr>
          <w:sz w:val="21"/>
        </w:rPr>
        <w:t>的样品回路。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</w:rPr>
        <w:t>分离柱：不锈钢管，长度</w:t>
      </w:r>
      <w:r>
        <w:rPr>
          <w:rFonts w:ascii="Times New Roman" w:eastAsia="Times New Roman"/>
          <w:sz w:val="21"/>
        </w:rPr>
        <w:t>300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mm</w:t>
      </w:r>
      <w:r>
        <w:rPr>
          <w:sz w:val="21"/>
        </w:rPr>
        <w:t>，内径</w:t>
      </w:r>
      <w:r>
        <w:rPr>
          <w:rFonts w:ascii="Times New Roman" w:eastAsia="Times New Roman"/>
          <w:sz w:val="21"/>
        </w:rPr>
        <w:t>7.8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rFonts w:ascii="Times New Roman" w:eastAsia="Times New Roman"/>
          <w:sz w:val="21"/>
        </w:rPr>
        <w:t>mm</w:t>
      </w:r>
      <w:r>
        <w:rPr>
          <w:sz w:val="21"/>
        </w:rPr>
        <w:t>有机</w:t>
      </w:r>
      <w:r>
        <w:rPr>
          <w:rFonts w:hint="eastAsia"/>
          <w:sz w:val="21"/>
          <w:lang w:val="en-US" w:eastAsia="zh-CN"/>
        </w:rPr>
        <w:t>酸</w:t>
      </w:r>
      <w:bookmarkStart w:id="15" w:name="_GoBack"/>
      <w:bookmarkEnd w:id="15"/>
      <w:r>
        <w:rPr>
          <w:sz w:val="21"/>
        </w:rPr>
        <w:t>色谱柱。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</w:rPr>
        <w:t>柱温箱。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 xml:space="preserve">.6 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sz w:val="21"/>
        </w:rPr>
        <w:t>数据采集与集成</w:t>
      </w:r>
      <w:r>
        <w:rPr>
          <w:rFonts w:hint="eastAsia"/>
          <w:sz w:val="21"/>
          <w:lang w:val="en-US" w:eastAsia="zh-CN"/>
        </w:rPr>
        <w:t>系统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.7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</w:rPr>
        <w:t>注射器式</w:t>
      </w:r>
      <w:r>
        <w:rPr>
          <w:rFonts w:hint="eastAsia"/>
          <w:sz w:val="21"/>
          <w:lang w:val="en-US" w:eastAsia="zh-CN"/>
        </w:rPr>
        <w:t>过</w:t>
      </w:r>
      <w:r>
        <w:rPr>
          <w:sz w:val="21"/>
        </w:rPr>
        <w:t>滤器</w:t>
      </w:r>
      <w:r>
        <w:rPr>
          <w:rFonts w:hint="eastAsia"/>
          <w:sz w:val="21"/>
          <w:lang w:eastAsia="zh-CN"/>
        </w:rPr>
        <w:t>：</w:t>
      </w:r>
      <w:r>
        <w:rPr>
          <w:sz w:val="21"/>
        </w:rPr>
        <w:t>直径</w:t>
      </w:r>
      <w:r>
        <w:rPr>
          <w:rFonts w:ascii="Times New Roman" w:hAnsi="Times New Roman" w:eastAsia="Times New Roman"/>
          <w:sz w:val="20"/>
        </w:rPr>
        <w:t>30</w:t>
      </w:r>
      <w:r>
        <w:rPr>
          <w:rFonts w:ascii="Times New Roman" w:hAnsi="Times New Roman" w:eastAsia="Times New Roman"/>
          <w:spacing w:val="-2"/>
          <w:sz w:val="20"/>
        </w:rPr>
        <w:t xml:space="preserve"> </w:t>
      </w:r>
      <w:r>
        <w:rPr>
          <w:rFonts w:ascii="Times New Roman" w:hAnsi="Times New Roman" w:eastAsia="Times New Roman"/>
          <w:sz w:val="20"/>
        </w:rPr>
        <w:t>mm</w:t>
      </w:r>
      <w:r>
        <w:rPr>
          <w:sz w:val="20"/>
        </w:rPr>
        <w:t>，精度</w:t>
      </w:r>
      <w:r>
        <w:rPr>
          <w:rFonts w:ascii="Times New Roman" w:hAnsi="Times New Roman" w:eastAsia="Times New Roman"/>
          <w:sz w:val="20"/>
        </w:rPr>
        <w:t>0.45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0"/>
        </w:rPr>
        <w:t>μm</w:t>
      </w:r>
      <w:r>
        <w:rPr>
          <w:sz w:val="20"/>
        </w:rPr>
        <w:t>，色号</w:t>
      </w:r>
      <w:r>
        <w:rPr>
          <w:rFonts w:hint="eastAsia"/>
          <w:sz w:val="20"/>
          <w:lang w:eastAsia="zh-CN"/>
        </w:rPr>
        <w:t>，</w:t>
      </w:r>
      <w:r>
        <w:rPr>
          <w:sz w:val="20"/>
        </w:rPr>
        <w:t>绿色。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textAlignment w:val="baseline"/>
        <w:outlineLvl w:val="1"/>
        <w:rPr>
          <w:rFonts w:hint="default" w:hAnsi="黑体"/>
          <w:szCs w:val="21"/>
          <w:highlight w:val="none"/>
          <w:lang w:val="en-US" w:eastAsia="en-US"/>
        </w:rPr>
      </w:pPr>
      <w:bookmarkStart w:id="9" w:name="OLE_LINK5"/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hAnsi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hAnsi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hAnsi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分析步骤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A.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3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zh-TW" w:eastAsia="zh-TW" w:bidi="ar-SA"/>
        </w:rPr>
        <w:t>1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 xml:space="preserve">  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色谱条件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4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.1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</w:t>
      </w:r>
      <w:r>
        <w:rPr>
          <w:sz w:val="21"/>
        </w:rPr>
        <w:t>分离柱色谱柱：有机酸色谱柱，内径</w:t>
      </w:r>
      <w:r>
        <w:rPr>
          <w:rFonts w:ascii="Times New Roman" w:hAnsi="Times New Roman" w:eastAsia="Times New Roman"/>
          <w:sz w:val="21"/>
        </w:rPr>
        <w:t>300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×7.8 mm</w:t>
      </w:r>
      <w:r>
        <w:rPr>
          <w:rFonts w:hint="eastAsia"/>
          <w:sz w:val="21"/>
          <w:lang w:eastAsia="zh-CN"/>
        </w:rPr>
        <w:t>。</w:t>
      </w:r>
      <w:bookmarkEnd w:id="9"/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0"/>
          <w:u w:val="none"/>
          <w:shd w:val="clear" w:color="auto" w:fill="auto"/>
          <w:lang w:val="en-US" w:eastAsia="zh-CN" w:bidi="ar-SA"/>
        </w:rPr>
        <w:t>柱温：10</w:t>
      </w:r>
      <w:r>
        <w:rPr>
          <w:rFonts w:hint="eastAsia" w:ascii="Times New Roman" w:hAnsi="Times New Roman" w:cs="Times New Roman"/>
          <w:kern w:val="2"/>
          <w:sz w:val="21"/>
          <w:szCs w:val="20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u w:val="none"/>
          <w:shd w:val="clear" w:color="auto" w:fill="auto"/>
          <w:lang w:val="en-US" w:eastAsia="zh-CN" w:bidi="ar-SA"/>
        </w:rPr>
        <w:t>℃</w:t>
      </w:r>
      <w:r>
        <w:rPr>
          <w:rFonts w:ascii="Times New Roman" w:hAnsi="Times New Roman" w:eastAsia="宋体" w:cs="Times New Roman"/>
          <w:kern w:val="2"/>
          <w:sz w:val="21"/>
          <w:szCs w:val="20"/>
          <w:u w:val="none"/>
          <w:shd w:val="clear" w:color="auto" w:fill="auto"/>
          <w:lang w:val="en-US" w:eastAsia="zh-CN" w:bidi="ar-SA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  <w:szCs w:val="21"/>
        </w:rPr>
        <w:t>流动相：硫酸（</w:t>
      </w:r>
      <w:r>
        <w:rPr>
          <w:rFonts w:ascii="Times New Roman" w:hAnsi="Times New Roman" w:eastAsia="Times New Roman"/>
          <w:sz w:val="21"/>
          <w:szCs w:val="21"/>
        </w:rPr>
        <w:t>A.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Times New Roman"/>
          <w:sz w:val="21"/>
          <w:szCs w:val="21"/>
        </w:rPr>
        <w:t>.1</w:t>
      </w:r>
      <w:r>
        <w:rPr>
          <w:sz w:val="21"/>
          <w:szCs w:val="21"/>
        </w:rPr>
        <w:t>）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sz w:val="21"/>
          <w:szCs w:val="21"/>
        </w:rPr>
        <w:t>流速：</w:t>
      </w:r>
      <w:r>
        <w:rPr>
          <w:rFonts w:ascii="Times New Roman" w:hAnsi="Times New Roman" w:eastAsia="Times New Roman"/>
          <w:sz w:val="21"/>
          <w:szCs w:val="21"/>
        </w:rPr>
        <w:t>0.3 m</w:t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rFonts w:ascii="Times New Roman" w:hAnsi="Times New Roman" w:eastAsia="Times New Roman"/>
          <w:sz w:val="21"/>
          <w:szCs w:val="21"/>
        </w:rPr>
        <w:t>/min</w:t>
      </w:r>
      <w:r>
        <w:rPr>
          <w:sz w:val="21"/>
          <w:szCs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进样体积：20 µL</w:t>
      </w:r>
      <w:r>
        <w:rPr>
          <w:sz w:val="21"/>
        </w:rPr>
        <w:t>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 xml:space="preserve">6 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</w:t>
      </w:r>
      <w:r>
        <w:rPr>
          <w:sz w:val="21"/>
          <w:szCs w:val="21"/>
        </w:rPr>
        <w:t>检测器：示差折光检测器</w:t>
      </w:r>
      <w:r>
        <w:rPr>
          <w:sz w:val="21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A.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3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4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2  标准溶液的配制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pacing w:val="-11"/>
          <w:sz w:val="21"/>
          <w:szCs w:val="21"/>
          <w:lang w:eastAsia="zh-CN"/>
        </w:rPr>
      </w:pPr>
      <w:bookmarkStart w:id="10" w:name="OLE_LINK1"/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.1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多组分标准溶液A（2份</w:t>
      </w:r>
      <w:r>
        <w:rPr>
          <w:rFonts w:hint="default" w:ascii="Times New Roman" w:hAnsi="Times New Roman" w:cs="Times New Roman"/>
          <w:spacing w:val="-11"/>
          <w:sz w:val="21"/>
          <w:szCs w:val="21"/>
        </w:rPr>
        <w:t>）</w:t>
      </w:r>
      <w:r>
        <w:rPr>
          <w:rFonts w:hint="eastAsia" w:ascii="Times New Roman" w:hAnsi="Times New Roman" w:cs="Times New Roman"/>
          <w:spacing w:val="-11"/>
          <w:sz w:val="21"/>
          <w:szCs w:val="21"/>
          <w:lang w:eastAsia="zh-CN"/>
        </w:rPr>
        <w:t>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19" w:firstLineChars="269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lang w:eastAsia="zh-CN"/>
        </w:rPr>
      </w:pPr>
      <w:r>
        <w:rPr>
          <w:spacing w:val="-27"/>
          <w:sz w:val="21"/>
          <w:szCs w:val="21"/>
        </w:rPr>
        <w:t xml:space="preserve">向 </w:t>
      </w:r>
      <w:r>
        <w:rPr>
          <w:rFonts w:ascii="Times New Roman" w:eastAsia="Times New Roman"/>
          <w:sz w:val="21"/>
          <w:szCs w:val="21"/>
        </w:rPr>
        <w:t>50 mL</w:t>
      </w:r>
      <w:r>
        <w:rPr>
          <w:spacing w:val="-9"/>
          <w:sz w:val="21"/>
          <w:szCs w:val="21"/>
        </w:rPr>
        <w:t>烧瓶中加入</w:t>
      </w:r>
      <w:r>
        <w:rPr>
          <w:rFonts w:ascii="Times New Roman" w:eastAsia="Times New Roman"/>
          <w:sz w:val="21"/>
          <w:szCs w:val="21"/>
        </w:rPr>
        <w:t>50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pacing w:val="-27"/>
          <w:sz w:val="21"/>
          <w:szCs w:val="21"/>
        </w:rPr>
        <w:t xml:space="preserve">至 </w:t>
      </w:r>
      <w:r>
        <w:rPr>
          <w:rFonts w:ascii="Times New Roman" w:eastAsia="Times New Roman"/>
          <w:sz w:val="21"/>
          <w:szCs w:val="21"/>
        </w:rPr>
        <w:t>60 mg</w:t>
      </w:r>
      <w:r>
        <w:rPr>
          <w:spacing w:val="-8"/>
          <w:sz w:val="21"/>
          <w:szCs w:val="21"/>
        </w:rPr>
        <w:t>的一水合内消旋酒石酸</w:t>
      </w:r>
      <w:r>
        <w:rPr>
          <w:spacing w:val="-9"/>
          <w:sz w:val="21"/>
          <w:szCs w:val="21"/>
        </w:rPr>
        <w:t>（</w:t>
      </w:r>
      <w:r>
        <w:rPr>
          <w:rFonts w:ascii="Times New Roman" w:eastAsia="Times New Roman"/>
          <w:spacing w:val="-9"/>
          <w:sz w:val="21"/>
          <w:szCs w:val="21"/>
        </w:rPr>
        <w:t>A.</w:t>
      </w:r>
      <w:r>
        <w:rPr>
          <w:rFonts w:hint="eastAsia" w:ascii="Times New Roman"/>
          <w:spacing w:val="-9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9"/>
          <w:sz w:val="21"/>
          <w:szCs w:val="21"/>
        </w:rPr>
        <w:t>.</w:t>
      </w:r>
      <w:r>
        <w:rPr>
          <w:rFonts w:hint="eastAsia" w:ascii="Times New Roman"/>
          <w:spacing w:val="-9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9"/>
          <w:sz w:val="21"/>
          <w:szCs w:val="21"/>
        </w:rPr>
        <w:t>.2</w:t>
      </w:r>
      <w:r>
        <w:rPr>
          <w:spacing w:val="-9"/>
          <w:sz w:val="21"/>
          <w:szCs w:val="21"/>
        </w:rPr>
        <w:t>）</w:t>
      </w:r>
      <w:r>
        <w:rPr>
          <w:spacing w:val="-27"/>
          <w:sz w:val="21"/>
          <w:szCs w:val="21"/>
        </w:rPr>
        <w:t xml:space="preserve">与 </w:t>
      </w:r>
      <w:r>
        <w:rPr>
          <w:rFonts w:ascii="Times New Roman" w:eastAsia="Times New Roman"/>
          <w:sz w:val="21"/>
          <w:szCs w:val="21"/>
        </w:rPr>
        <w:t>20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pacing w:val="-27"/>
          <w:sz w:val="21"/>
          <w:szCs w:val="21"/>
        </w:rPr>
        <w:t xml:space="preserve">至 </w:t>
      </w:r>
      <w:r>
        <w:rPr>
          <w:rFonts w:ascii="Times New Roman" w:eastAsia="Times New Roman"/>
          <w:sz w:val="21"/>
          <w:szCs w:val="21"/>
        </w:rPr>
        <w:t>30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pacing w:val="-27"/>
          <w:sz w:val="21"/>
          <w:szCs w:val="21"/>
        </w:rPr>
        <w:t xml:space="preserve">的 </w:t>
      </w:r>
      <w:r>
        <w:rPr>
          <w:rFonts w:ascii="Times New Roman" w:eastAsia="Times New Roman"/>
          <w:sz w:val="21"/>
          <w:szCs w:val="21"/>
        </w:rPr>
        <w:t>D-</w:t>
      </w:r>
      <w:r>
        <w:rPr>
          <w:spacing w:val="-13"/>
          <w:sz w:val="21"/>
          <w:szCs w:val="21"/>
        </w:rPr>
        <w:t>酒石酸</w:t>
      </w:r>
      <w:r>
        <w:rPr>
          <w:spacing w:val="-5"/>
          <w:sz w:val="21"/>
          <w:szCs w:val="21"/>
        </w:rPr>
        <w:t>（</w:t>
      </w:r>
      <w:r>
        <w:rPr>
          <w:rFonts w:ascii="Times New Roman" w:eastAsia="Times New Roman"/>
          <w:spacing w:val="-5"/>
          <w:sz w:val="21"/>
          <w:szCs w:val="21"/>
        </w:rPr>
        <w:t>A.</w:t>
      </w:r>
      <w:r>
        <w:rPr>
          <w:rFonts w:hint="eastAsia" w:ascii="Times New Roman"/>
          <w:spacing w:val="-5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5"/>
          <w:sz w:val="21"/>
          <w:szCs w:val="21"/>
        </w:rPr>
        <w:t>.</w:t>
      </w:r>
      <w:r>
        <w:rPr>
          <w:rFonts w:hint="eastAsia" w:ascii="Times New Roman"/>
          <w:spacing w:val="-5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5"/>
          <w:sz w:val="21"/>
          <w:szCs w:val="21"/>
        </w:rPr>
        <w:t>.3</w:t>
      </w:r>
      <w:r>
        <w:rPr>
          <w:spacing w:val="-5"/>
          <w:sz w:val="21"/>
          <w:szCs w:val="21"/>
        </w:rPr>
        <w:t>）</w:t>
      </w:r>
      <w:r>
        <w:rPr>
          <w:spacing w:val="-27"/>
          <w:sz w:val="21"/>
          <w:szCs w:val="21"/>
        </w:rPr>
        <w:t xml:space="preserve">或 </w:t>
      </w:r>
      <w:r>
        <w:rPr>
          <w:rFonts w:ascii="Times New Roman" w:eastAsia="Times New Roman"/>
          <w:sz w:val="21"/>
          <w:szCs w:val="21"/>
        </w:rPr>
        <w:t>L-</w:t>
      </w:r>
      <w:r>
        <w:rPr>
          <w:spacing w:val="-12"/>
          <w:sz w:val="21"/>
          <w:szCs w:val="21"/>
        </w:rPr>
        <w:t>酒石酸</w:t>
      </w:r>
      <w:r>
        <w:rPr>
          <w:spacing w:val="-8"/>
          <w:sz w:val="21"/>
          <w:szCs w:val="21"/>
        </w:rPr>
        <w:t>（</w:t>
      </w:r>
      <w:r>
        <w:rPr>
          <w:rFonts w:ascii="Times New Roman" w:eastAsia="Times New Roman"/>
          <w:spacing w:val="-8"/>
          <w:sz w:val="21"/>
          <w:szCs w:val="21"/>
        </w:rPr>
        <w:t>A.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8"/>
          <w:sz w:val="21"/>
          <w:szCs w:val="21"/>
        </w:rPr>
        <w:t>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8"/>
          <w:sz w:val="21"/>
          <w:szCs w:val="21"/>
        </w:rPr>
        <w:t>.4</w:t>
      </w:r>
      <w:r>
        <w:rPr>
          <w:spacing w:val="-8"/>
          <w:sz w:val="21"/>
          <w:szCs w:val="21"/>
        </w:rPr>
        <w:t>）</w:t>
      </w:r>
      <w:r>
        <w:rPr>
          <w:spacing w:val="-14"/>
          <w:sz w:val="21"/>
          <w:szCs w:val="21"/>
        </w:rPr>
        <w:t xml:space="preserve">，精确到 </w:t>
      </w:r>
      <w:r>
        <w:rPr>
          <w:rFonts w:ascii="Times New Roman" w:eastAsia="Times New Roman"/>
          <w:sz w:val="21"/>
          <w:szCs w:val="21"/>
        </w:rPr>
        <w:t>0.01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pacing w:val="-23"/>
          <w:sz w:val="21"/>
          <w:szCs w:val="21"/>
        </w:rPr>
        <w:t xml:space="preserve">。加入 </w:t>
      </w:r>
      <w:r>
        <w:rPr>
          <w:rFonts w:ascii="Times New Roman" w:eastAsia="Times New Roman"/>
          <w:sz w:val="21"/>
          <w:szCs w:val="21"/>
        </w:rPr>
        <w:t>50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</w:t>
      </w:r>
      <w:r>
        <w:rPr>
          <w:rFonts w:hint="eastAsia" w:ascii="Times New Roman"/>
          <w:sz w:val="21"/>
          <w:szCs w:val="21"/>
          <w:lang w:val="en-US" w:eastAsia="zh-CN"/>
        </w:rPr>
        <w:t>L</w:t>
      </w:r>
      <w:r>
        <w:rPr>
          <w:spacing w:val="-12"/>
          <w:sz w:val="21"/>
          <w:szCs w:val="21"/>
        </w:rPr>
        <w:t>硫酸</w:t>
      </w:r>
      <w:r>
        <w:rPr>
          <w:sz w:val="21"/>
          <w:szCs w:val="21"/>
        </w:rPr>
        <w:t>（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A.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.1</w:t>
      </w:r>
      <w:r>
        <w:rPr>
          <w:sz w:val="21"/>
          <w:szCs w:val="21"/>
        </w:rPr>
        <w:t>）</w:t>
      </w:r>
      <w:r>
        <w:rPr>
          <w:spacing w:val="-5"/>
          <w:sz w:val="21"/>
          <w:szCs w:val="21"/>
        </w:rPr>
        <w:t>溶解。确定总质量，精确到</w:t>
      </w:r>
      <w:r>
        <w:rPr>
          <w:rFonts w:ascii="Times New Roman" w:eastAsia="Times New Roman"/>
          <w:sz w:val="21"/>
          <w:szCs w:val="21"/>
        </w:rPr>
        <w:t>0.1</w:t>
      </w:r>
      <w:r>
        <w:rPr>
          <w:rFonts w:hint="eastAsia" w:asci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z w:val="21"/>
          <w:szCs w:val="21"/>
        </w:rPr>
        <w:t>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16" w:firstLineChars="200"/>
        <w:jc w:val="both"/>
        <w:textAlignment w:val="auto"/>
        <w:outlineLvl w:val="9"/>
        <w:rPr>
          <w:spacing w:val="-2"/>
          <w:sz w:val="21"/>
          <w:szCs w:val="21"/>
        </w:rPr>
      </w:pPr>
      <w:r>
        <w:rPr>
          <w:rFonts w:hint="eastAsia"/>
          <w:spacing w:val="-1"/>
          <w:sz w:val="21"/>
          <w:szCs w:val="21"/>
          <w:lang w:val="en-US" w:eastAsia="zh-CN"/>
        </w:rPr>
        <w:t>配制</w:t>
      </w:r>
      <w:r>
        <w:rPr>
          <w:spacing w:val="-1"/>
          <w:sz w:val="21"/>
          <w:szCs w:val="21"/>
        </w:rPr>
        <w:t>第二份浓度不同的多组分标准溶液</w:t>
      </w:r>
      <w:r>
        <w:rPr>
          <w:rFonts w:ascii="Times New Roman" w:eastAsia="Times New Roman"/>
          <w:spacing w:val="-6"/>
          <w:sz w:val="21"/>
          <w:szCs w:val="21"/>
        </w:rPr>
        <w:t>A</w:t>
      </w:r>
      <w:r>
        <w:rPr>
          <w:spacing w:val="-5"/>
          <w:sz w:val="21"/>
          <w:szCs w:val="21"/>
        </w:rPr>
        <w:t>，其中，一水合内消旋酒石酸</w:t>
      </w:r>
      <w:r>
        <w:rPr>
          <w:sz w:val="21"/>
          <w:szCs w:val="21"/>
        </w:rPr>
        <w:t>（</w:t>
      </w:r>
      <w:r>
        <w:rPr>
          <w:rFonts w:ascii="Times New Roman" w:eastAsia="Times New Roman"/>
          <w:spacing w:val="-9"/>
          <w:sz w:val="21"/>
          <w:szCs w:val="21"/>
        </w:rPr>
        <w:t>A.</w:t>
      </w:r>
      <w:r>
        <w:rPr>
          <w:rFonts w:hint="eastAsia" w:ascii="Times New Roman"/>
          <w:spacing w:val="-9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9"/>
          <w:sz w:val="21"/>
          <w:szCs w:val="21"/>
        </w:rPr>
        <w:t>.</w:t>
      </w:r>
      <w:r>
        <w:rPr>
          <w:rFonts w:hint="eastAsia" w:ascii="Times New Roman"/>
          <w:spacing w:val="-9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9"/>
          <w:sz w:val="21"/>
          <w:szCs w:val="21"/>
        </w:rPr>
        <w:t>.2</w:t>
      </w:r>
      <w:r>
        <w:rPr>
          <w:sz w:val="21"/>
          <w:szCs w:val="21"/>
        </w:rPr>
        <w:t>）与</w:t>
      </w:r>
      <w:r>
        <w:rPr>
          <w:rFonts w:ascii="Times New Roman" w:eastAsia="Times New Roman"/>
          <w:sz w:val="21"/>
          <w:szCs w:val="21"/>
        </w:rPr>
        <w:t>D-</w:t>
      </w:r>
      <w:r>
        <w:rPr>
          <w:spacing w:val="-6"/>
          <w:sz w:val="21"/>
          <w:szCs w:val="21"/>
        </w:rPr>
        <w:t>酒石酸</w:t>
      </w:r>
      <w:r>
        <w:rPr>
          <w:spacing w:val="-1"/>
          <w:sz w:val="21"/>
          <w:szCs w:val="21"/>
        </w:rPr>
        <w:t>（</w:t>
      </w:r>
      <w:r>
        <w:rPr>
          <w:rFonts w:ascii="Times New Roman" w:eastAsia="Times New Roman"/>
          <w:spacing w:val="-5"/>
          <w:sz w:val="21"/>
          <w:szCs w:val="21"/>
        </w:rPr>
        <w:t>A.</w:t>
      </w:r>
      <w:r>
        <w:rPr>
          <w:rFonts w:hint="eastAsia" w:ascii="Times New Roman"/>
          <w:spacing w:val="-5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5"/>
          <w:sz w:val="21"/>
          <w:szCs w:val="21"/>
        </w:rPr>
        <w:t>.</w:t>
      </w:r>
      <w:r>
        <w:rPr>
          <w:rFonts w:hint="eastAsia" w:ascii="Times New Roman"/>
          <w:spacing w:val="-5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5"/>
          <w:sz w:val="21"/>
          <w:szCs w:val="21"/>
        </w:rPr>
        <w:t>.3</w:t>
      </w:r>
      <w:r>
        <w:rPr>
          <w:spacing w:val="-1"/>
          <w:sz w:val="21"/>
          <w:szCs w:val="21"/>
        </w:rPr>
        <w:t>）或</w:t>
      </w:r>
      <w:r>
        <w:rPr>
          <w:rFonts w:ascii="Times New Roman" w:eastAsia="Times New Roman"/>
          <w:spacing w:val="-1"/>
          <w:sz w:val="21"/>
          <w:szCs w:val="21"/>
        </w:rPr>
        <w:t>L-</w:t>
      </w:r>
      <w:r>
        <w:rPr>
          <w:spacing w:val="-6"/>
          <w:sz w:val="21"/>
          <w:szCs w:val="21"/>
        </w:rPr>
        <w:t>酒石酸</w:t>
      </w:r>
      <w:r>
        <w:rPr>
          <w:spacing w:val="-1"/>
          <w:sz w:val="21"/>
          <w:szCs w:val="21"/>
        </w:rPr>
        <w:t>（</w:t>
      </w:r>
      <w:r>
        <w:rPr>
          <w:rFonts w:ascii="Times New Roman" w:eastAsia="Times New Roman"/>
          <w:spacing w:val="-8"/>
          <w:sz w:val="21"/>
          <w:szCs w:val="21"/>
        </w:rPr>
        <w:t>A.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8"/>
          <w:sz w:val="21"/>
          <w:szCs w:val="21"/>
        </w:rPr>
        <w:t>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8"/>
          <w:sz w:val="21"/>
          <w:szCs w:val="21"/>
        </w:rPr>
        <w:t>.4</w:t>
      </w:r>
      <w:r>
        <w:rPr>
          <w:spacing w:val="-1"/>
          <w:sz w:val="21"/>
          <w:szCs w:val="21"/>
        </w:rPr>
        <w:t>）</w:t>
      </w:r>
      <w:r>
        <w:rPr>
          <w:spacing w:val="-2"/>
          <w:sz w:val="21"/>
          <w:szCs w:val="21"/>
        </w:rPr>
        <w:t>的含量应有轻微区别，使测试样品的内消旋酒石酸和</w:t>
      </w:r>
      <w:r>
        <w:rPr>
          <w:rFonts w:ascii="Times New Roman" w:eastAsia="Times New Roman"/>
          <w:spacing w:val="-2"/>
          <w:sz w:val="21"/>
          <w:szCs w:val="21"/>
        </w:rPr>
        <w:t>D-</w:t>
      </w:r>
      <w:r>
        <w:rPr>
          <w:spacing w:val="-2"/>
          <w:sz w:val="21"/>
          <w:szCs w:val="21"/>
        </w:rPr>
        <w:t>或</w:t>
      </w:r>
      <w:r>
        <w:rPr>
          <w:rFonts w:ascii="Times New Roman" w:eastAsia="Times New Roman"/>
          <w:spacing w:val="-2"/>
          <w:sz w:val="21"/>
          <w:szCs w:val="21"/>
        </w:rPr>
        <w:t>L-</w:t>
      </w:r>
      <w:r>
        <w:rPr>
          <w:spacing w:val="-2"/>
          <w:sz w:val="21"/>
          <w:szCs w:val="21"/>
        </w:rPr>
        <w:t>酒石酸的含量在以上两个标准溶液</w:t>
      </w:r>
      <w:r>
        <w:rPr>
          <w:rFonts w:ascii="Times New Roman" w:eastAsia="Times New Roman"/>
          <w:spacing w:val="-2"/>
          <w:sz w:val="21"/>
          <w:szCs w:val="21"/>
        </w:rPr>
        <w:t>A</w:t>
      </w:r>
      <w:r>
        <w:rPr>
          <w:spacing w:val="-2"/>
          <w:sz w:val="21"/>
          <w:szCs w:val="21"/>
        </w:rPr>
        <w:t>之间。</w:t>
      </w:r>
      <w:bookmarkEnd w:id="10"/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pacing w:val="-11"/>
          <w:sz w:val="21"/>
          <w:szCs w:val="21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草酸标准溶液B</w:t>
      </w:r>
      <w:r>
        <w:rPr>
          <w:rFonts w:hint="default" w:ascii="Times New Roman" w:hAnsi="Times New Roman" w:cs="Times New Roman"/>
          <w:spacing w:val="-11"/>
          <w:sz w:val="21"/>
          <w:szCs w:val="21"/>
          <w:lang w:eastAsia="zh-CN"/>
        </w:rPr>
        <w:t>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12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2"/>
          <w:sz w:val="21"/>
          <w:szCs w:val="21"/>
        </w:rPr>
      </w:pPr>
      <w:r>
        <w:rPr>
          <w:rFonts w:hint="default" w:ascii="Times New Roman" w:hAnsi="Times New Roman" w:cs="Times New Roman"/>
          <w:spacing w:val="-2"/>
          <w:sz w:val="21"/>
          <w:szCs w:val="21"/>
        </w:rPr>
        <w:t>称取250 mg的二水合草酸（</w:t>
      </w:r>
      <w:r>
        <w:rPr>
          <w:rFonts w:ascii="Times New Roman" w:eastAsia="Times New Roman"/>
          <w:spacing w:val="-8"/>
          <w:sz w:val="21"/>
          <w:szCs w:val="21"/>
        </w:rPr>
        <w:t>A.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8"/>
          <w:sz w:val="21"/>
          <w:szCs w:val="21"/>
        </w:rPr>
        <w:t>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8"/>
          <w:sz w:val="21"/>
          <w:szCs w:val="21"/>
        </w:rPr>
        <w:t>.</w:t>
      </w:r>
      <w:r>
        <w:rPr>
          <w:rFonts w:hint="eastAsia" w:ascii="Times New Roman"/>
          <w:spacing w:val="-8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），精确到0.1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mg，用硫酸（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A.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.1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）溶解并定容至500 mL。确定总质量，精确到1 mg。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pacing w:val="-11"/>
          <w:sz w:val="21"/>
          <w:szCs w:val="21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黑体" w:eastAsia="黑体"/>
          <w:spacing w:val="-7"/>
          <w:sz w:val="21"/>
        </w:rPr>
        <w:t xml:space="preserve">多组分标准溶液 </w:t>
      </w:r>
      <w:r>
        <w:rPr>
          <w:rFonts w:hint="eastAsia" w:ascii="黑体" w:eastAsia="黑体"/>
          <w:sz w:val="21"/>
        </w:rPr>
        <w:t>A</w:t>
      </w:r>
      <w:r>
        <w:rPr>
          <w:rFonts w:hint="eastAsia" w:ascii="黑体" w:eastAsia="黑体"/>
          <w:spacing w:val="-8"/>
          <w:sz w:val="21"/>
        </w:rPr>
        <w:t xml:space="preserve"> 中内消旋酒石酸、</w:t>
      </w:r>
      <w:r>
        <w:rPr>
          <w:rFonts w:hint="eastAsia" w:ascii="黑体" w:eastAsia="黑体"/>
          <w:sz w:val="21"/>
        </w:rPr>
        <w:t>D-</w:t>
      </w:r>
      <w:r>
        <w:rPr>
          <w:rFonts w:hint="eastAsia" w:ascii="黑体" w:eastAsia="黑体"/>
          <w:spacing w:val="-27"/>
          <w:sz w:val="21"/>
        </w:rPr>
        <w:t xml:space="preserve">及 </w:t>
      </w:r>
      <w:r>
        <w:rPr>
          <w:rFonts w:hint="eastAsia" w:ascii="黑体" w:eastAsia="黑体"/>
          <w:sz w:val="21"/>
        </w:rPr>
        <w:t>L-酒石酸的浓度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按照A.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3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.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4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.6分析两个多组分标准溶液A。用移液管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移取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标准溶液A注入小玻璃瓶中，待分析。多组分标准溶液A中内消旋酒石酸、D-及L-酒石酸的浓度分别按照公式（A.1）、（A.2）、（A.3）、（A.4）计算。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18" w:firstLineChars="203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内消旋酒石酸的质量</w:t>
      </w: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zh-TW" w:eastAsia="zh-TW" w:bidi="zh-TW"/>
        </w:rPr>
        <w:t>1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baseline"/>
          <w:lang w:val="zh-TW" w:eastAsia="zh-CN" w:bidi="zh-TW"/>
        </w:rPr>
        <w:t>，按公式（A.1）计算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cq1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highlight w:val="none"/>
          </w:rPr>
          <m:t>×</m:t>
        </m:r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[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  <w:lang w:val="en-US" w:eastAsia="zh-CN"/>
              </w:rPr>
              <m:t>150.1</m:t>
            </m:r>
            <m:r>
              <m:rPr/>
              <w:rPr>
                <w:rFonts w:ascii="Cambria Math" w:hAnsi="Cambria Math" w:cs="Times New Roman"/>
                <w:sz w:val="21"/>
                <w:szCs w:val="21"/>
                <w:highlight w:val="none"/>
                <w:lang w:val="en-US"/>
              </w:rPr>
              <m:t>×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  <w:lang w:val="en-US" w:eastAsia="zh-CN"/>
              </w:rPr>
              <m:t>X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  <w:lang w:val="en-US" w:eastAsia="zh-CN"/>
              </w:rPr>
              <m:t>168.1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</w:rPr>
              <m:t>×100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]</m:t>
        </m:r>
      </m:oMath>
      <w:r>
        <w:rPr>
          <w:rFonts w:hint="default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</w:t>
      </w:r>
      <w:r>
        <w:rPr>
          <w:rFonts w:hint="eastAsia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（A.1）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zh-TW" w:eastAsia="zh-TW" w:bidi="zh-TW"/>
        </w:rPr>
        <w:t>1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中内消旋酒石酸的质量，单位为毫克（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cq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1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rPr>
          <w:rFonts w:hint="eastAsia"/>
          <w:lang w:val="en-US" w:eastAsia="zh-CN"/>
        </w:rPr>
        <w:t>中</w:t>
      </w:r>
      <w:r>
        <w:t>一水内消旋酒石酸的质量，单位为毫克</w:t>
      </w: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>mg</w:t>
      </w:r>
      <w:r>
        <w:rPr>
          <w:spacing w:val="-5"/>
        </w:rP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X</w:t>
      </w:r>
      <w:r>
        <w:rPr>
          <w:szCs w:val="21"/>
          <w:highlight w:val="none"/>
        </w:rPr>
        <w:t>——</w:t>
      </w:r>
      <w:r>
        <w:rPr>
          <w:rFonts w:hint="eastAsia"/>
          <w:szCs w:val="21"/>
          <w:highlight w:val="none"/>
          <w:lang w:val="en-US" w:eastAsia="zh-CN"/>
        </w:rPr>
        <w:t>标准物质</w:t>
      </w:r>
      <w:r>
        <w:t>中内消旋酒石酸的质量百分数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i/>
          <w:szCs w:val="21"/>
          <w:highlight w:val="none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150.1</w:t>
      </w:r>
      <w:r>
        <w:rPr>
          <w:szCs w:val="21"/>
          <w:highlight w:val="none"/>
        </w:rPr>
        <w:t>——</w:t>
      </w:r>
      <w:r>
        <w:t>内消旋酒石酸的分子量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168.1</w:t>
      </w:r>
      <w:r>
        <w:rPr>
          <w:szCs w:val="21"/>
          <w:highlight w:val="none"/>
        </w:rPr>
        <w:t>——</w:t>
      </w:r>
      <w:r>
        <w:t>一水合内消旋酒石酸的分子量</w:t>
      </w:r>
      <w:r>
        <w:rPr>
          <w:rFonts w:hint="eastAsia"/>
          <w:szCs w:val="21"/>
          <w:highlight w:val="none"/>
        </w:rPr>
        <w:t>；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00" w:firstLineChars="200"/>
        <w:jc w:val="left"/>
        <w:textAlignment w:val="auto"/>
        <w:outlineLvl w:val="9"/>
        <w:rPr>
          <w:rFonts w:hint="eastAsia"/>
          <w:szCs w:val="21"/>
          <w:highlight w:val="none"/>
        </w:rPr>
      </w:pPr>
      <w:r>
        <w:rPr>
          <w:rFonts w:hint="eastAsia"/>
          <w:i w:val="0"/>
          <w:iCs w:val="0"/>
          <w:szCs w:val="21"/>
          <w:highlight w:val="none"/>
          <w:lang w:val="en-US" w:eastAsia="zh-CN"/>
        </w:rPr>
        <w:t>100</w:t>
      </w:r>
      <w:r>
        <w:rPr>
          <w:szCs w:val="21"/>
          <w:highlight w:val="none"/>
        </w:rPr>
        <w:t>——</w:t>
      </w:r>
      <w:r>
        <w:rPr>
          <w:rFonts w:hint="eastAsia"/>
          <w:szCs w:val="21"/>
          <w:highlight w:val="none"/>
        </w:rPr>
        <w:t>换算系数。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18" w:firstLineChars="203"/>
        <w:textAlignment w:val="auto"/>
        <w:rPr>
          <w:rFonts w:hint="default" w:ascii="Times New Roman" w:hAnsi="Times New Roman" w:eastAsia="宋体" w:cs="Times New Roman"/>
          <w:i w:val="0"/>
          <w:iCs w:val="0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18" w:firstLineChars="203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宋体" w:cs="Times New Roman"/>
          <w:i w:val="0"/>
          <w:iCs w:val="0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D-及L-酒石酸的质量</w:t>
      </w: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2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baseline"/>
          <w:lang w:val="zh-TW" w:eastAsia="zh-CN" w:bidi="zh-TW"/>
        </w:rPr>
        <w:t>，按公式（A.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baseline"/>
          <w:lang w:val="en-US" w:eastAsia="zh-CN" w:bidi="zh-TW"/>
        </w:rPr>
        <w:t>2</w:t>
      </w:r>
      <w:r>
        <w:rPr>
          <w:rFonts w:hint="eastAsia" w:asci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vertAlign w:val="baseline"/>
          <w:lang w:val="zh-TW" w:eastAsia="zh-CN" w:bidi="zh-TW"/>
        </w:rPr>
        <w:t>）计算</w:t>
      </w:r>
      <w:r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cq2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  <w:lang w:val="en-US" w:eastAsia="zh-CN"/>
          </w:rPr>
          <m:t>+</m:t>
        </m:r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cq1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highlight w:val="none"/>
          </w:rPr>
          <m:t>×</m:t>
        </m:r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[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  <w:lang w:val="en-US" w:eastAsia="zh-CN"/>
              </w:rPr>
              <m:t>150.1</m:t>
            </m:r>
            <m:r>
              <m:rPr/>
              <w:rPr>
                <w:rFonts w:ascii="Cambria Math" w:hAnsi="Cambria Math" w:cs="Times New Roman"/>
                <w:sz w:val="21"/>
                <w:szCs w:val="21"/>
                <w:highlight w:val="none"/>
                <w:lang w:val="en-US"/>
              </w:rPr>
              <m:t>×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  <w:lang w:val="en-US" w:eastAsia="zh-CN"/>
              </w:rPr>
              <m:t>Y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  <w:lang w:val="en-US" w:eastAsia="zh-CN"/>
              </w:rPr>
              <m:t>168.1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</w:rPr>
              <m:t>×100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]</m:t>
        </m:r>
      </m:oMath>
      <w:r>
        <w:rPr>
          <w:rFonts w:hint="default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</w:t>
      </w:r>
      <w:r>
        <w:rPr>
          <w:rFonts w:hint="eastAsia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ascii="Times New Roman" w:eastAsia="宋体" w:cs="Times New Roman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2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中无水</w:t>
      </w:r>
      <w:r>
        <w:rPr>
          <w:rFonts w:ascii="Times New Roman" w:hAnsi="Times New Roman" w:eastAsia="Times New Roman"/>
        </w:rPr>
        <w:t>D-</w:t>
      </w:r>
      <w:r>
        <w:t>及</w:t>
      </w:r>
      <w:r>
        <w:rPr>
          <w:rFonts w:ascii="Times New Roman" w:hAnsi="Times New Roman" w:eastAsia="Times New Roman"/>
        </w:rPr>
        <w:t>L-</w:t>
      </w:r>
      <w:r>
        <w:t>酒石酸的质量，单位为毫克</w:t>
      </w:r>
      <w:r>
        <w:rPr>
          <w:spacing w:val="-3"/>
        </w:rPr>
        <w:t>（</w:t>
      </w:r>
      <w:r>
        <w:rPr>
          <w:rFonts w:ascii="Times New Roman" w:hAnsi="Times New Roman" w:eastAsia="Times New Roman"/>
          <w:spacing w:val="-3"/>
        </w:rPr>
        <w:t>mg</w:t>
      </w:r>
      <w:r>
        <w:rPr>
          <w:spacing w:val="-3"/>
        </w:rP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cq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1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rPr>
          <w:rFonts w:hint="eastAsia"/>
          <w:lang w:val="en-US" w:eastAsia="zh-CN"/>
        </w:rPr>
        <w:t>中</w:t>
      </w:r>
      <w:r>
        <w:t>一水内消旋酒石酸的质量，单位为毫克</w:t>
      </w: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>mg</w:t>
      </w:r>
      <w:r>
        <w:rPr>
          <w:spacing w:val="-5"/>
        </w:rP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cq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2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中无水</w:t>
      </w:r>
      <w:r>
        <w:rPr>
          <w:rFonts w:ascii="Times New Roman" w:hAnsi="Times New Roman" w:eastAsia="Times New Roman"/>
        </w:rPr>
        <w:t>D-</w:t>
      </w:r>
      <w:r>
        <w:t>或</w:t>
      </w:r>
      <w:r>
        <w:rPr>
          <w:rFonts w:ascii="Times New Roman" w:hAnsi="Times New Roman" w:eastAsia="Times New Roman"/>
        </w:rPr>
        <w:t>L-</w:t>
      </w:r>
      <w:r>
        <w:t>酒石酸的质量，单位为毫克</w:t>
      </w:r>
      <w:r>
        <w:rPr>
          <w:spacing w:val="-3"/>
        </w:rPr>
        <w:t>（</w:t>
      </w:r>
      <w:r>
        <w:rPr>
          <w:rFonts w:ascii="Times New Roman" w:hAnsi="Times New Roman" w:eastAsia="Times New Roman"/>
          <w:spacing w:val="-3"/>
        </w:rPr>
        <w:t>mg</w:t>
      </w:r>
      <w:r>
        <w:rPr>
          <w:spacing w:val="-3"/>
        </w:rP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Y</w:t>
      </w:r>
      <w:r>
        <w:rPr>
          <w:szCs w:val="21"/>
          <w:highlight w:val="none"/>
        </w:rPr>
        <w:t>——</w:t>
      </w:r>
      <w:r>
        <w:rPr>
          <w:rFonts w:hint="eastAsia"/>
          <w:szCs w:val="21"/>
          <w:highlight w:val="none"/>
          <w:lang w:val="en-US" w:eastAsia="zh-CN"/>
        </w:rPr>
        <w:t>标准物质</w:t>
      </w:r>
      <w:r>
        <w:t>中无水</w:t>
      </w:r>
      <w:r>
        <w:rPr>
          <w:rFonts w:ascii="Times New Roman" w:hAnsi="Times New Roman" w:eastAsia="Times New Roman"/>
        </w:rPr>
        <w:t>D-</w:t>
      </w:r>
      <w:r>
        <w:t>及</w:t>
      </w:r>
      <w:r>
        <w:rPr>
          <w:rFonts w:ascii="Times New Roman" w:hAnsi="Times New Roman" w:eastAsia="Times New Roman"/>
        </w:rPr>
        <w:t>L-</w:t>
      </w:r>
      <w:r>
        <w:t>酒石酸的质量百分数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i/>
          <w:szCs w:val="21"/>
          <w:highlight w:val="none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150.1</w:t>
      </w:r>
      <w:r>
        <w:rPr>
          <w:szCs w:val="21"/>
          <w:highlight w:val="none"/>
        </w:rPr>
        <w:t>——</w:t>
      </w:r>
      <w:r>
        <w:t>内消旋酒石酸的分子量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168.1</w:t>
      </w:r>
      <w:r>
        <w:rPr>
          <w:szCs w:val="21"/>
          <w:highlight w:val="none"/>
        </w:rPr>
        <w:t>——</w:t>
      </w:r>
      <w:r>
        <w:t>一水合内消旋酒石酸的分子量</w:t>
      </w:r>
      <w:r>
        <w:rPr>
          <w:rFonts w:hint="eastAsia"/>
          <w:szCs w:val="21"/>
          <w:highlight w:val="none"/>
        </w:rPr>
        <w:t>；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00" w:firstLineChars="200"/>
        <w:jc w:val="left"/>
        <w:textAlignment w:val="auto"/>
        <w:outlineLvl w:val="9"/>
        <w:rPr>
          <w:rFonts w:hint="eastAsia"/>
          <w:szCs w:val="21"/>
          <w:highlight w:val="none"/>
        </w:rPr>
      </w:pPr>
      <w:r>
        <w:rPr>
          <w:rFonts w:hint="eastAsia"/>
          <w:i w:val="0"/>
          <w:iCs w:val="0"/>
          <w:szCs w:val="21"/>
          <w:highlight w:val="none"/>
          <w:lang w:val="en-US" w:eastAsia="zh-CN"/>
        </w:rPr>
        <w:t>100</w:t>
      </w:r>
      <w:r>
        <w:rPr>
          <w:szCs w:val="21"/>
          <w:highlight w:val="none"/>
        </w:rPr>
        <w:t>——</w:t>
      </w:r>
      <w:r>
        <w:rPr>
          <w:rFonts w:hint="eastAsia"/>
          <w:szCs w:val="21"/>
          <w:highlight w:val="none"/>
        </w:rPr>
        <w:t>换算系数。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Cs w:val="21"/>
          <w:highlight w:val="none"/>
        </w:rPr>
      </w:pP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多组分标准溶液</w:t>
      </w:r>
      <w:r>
        <w:rPr>
          <w:rFonts w:ascii="Times New Roman" w:eastAsia="Times New Roman"/>
          <w:sz w:val="21"/>
          <w:szCs w:val="21"/>
        </w:rPr>
        <w:t>A</w:t>
      </w:r>
      <w:r>
        <w:rPr>
          <w:spacing w:val="-6"/>
          <w:sz w:val="21"/>
          <w:szCs w:val="21"/>
        </w:rPr>
        <w:t>中，内消旋酒石酸的浓度</w:t>
      </w:r>
      <w:r>
        <w:rPr>
          <w:rFonts w:ascii="Times New Roman" w:eastAsia="Times New Roman"/>
          <w:i/>
          <w:sz w:val="21"/>
          <w:szCs w:val="21"/>
        </w:rPr>
        <w:t>x</w:t>
      </w:r>
      <w:r>
        <w:rPr>
          <w:rFonts w:ascii="Times New Roman" w:eastAsia="Times New Roman"/>
          <w:i w:val="0"/>
          <w:iCs/>
          <w:sz w:val="21"/>
          <w:szCs w:val="21"/>
          <w:vertAlign w:val="subscript"/>
        </w:rPr>
        <w:t>1</w:t>
      </w:r>
      <w:r>
        <w:rPr>
          <w:spacing w:val="-29"/>
          <w:sz w:val="21"/>
          <w:szCs w:val="21"/>
        </w:rPr>
        <w:t>、</w:t>
      </w:r>
      <w:r>
        <w:rPr>
          <w:rFonts w:ascii="Times New Roman" w:eastAsia="Times New Roman"/>
          <w:sz w:val="21"/>
          <w:szCs w:val="21"/>
        </w:rPr>
        <w:t>D-</w:t>
      </w:r>
      <w:r>
        <w:rPr>
          <w:sz w:val="21"/>
          <w:szCs w:val="21"/>
        </w:rPr>
        <w:t>及</w:t>
      </w:r>
      <w:r>
        <w:rPr>
          <w:rFonts w:ascii="Times New Roman" w:eastAsia="Times New Roman"/>
          <w:sz w:val="21"/>
          <w:szCs w:val="21"/>
        </w:rPr>
        <w:t>L-</w:t>
      </w:r>
      <w:r>
        <w:rPr>
          <w:sz w:val="21"/>
          <w:szCs w:val="21"/>
        </w:rPr>
        <w:t>酒石酸的浓度</w:t>
      </w:r>
      <w:r>
        <w:rPr>
          <w:rFonts w:ascii="Times New Roman" w:eastAsia="Times New Roman"/>
          <w:i/>
          <w:sz w:val="21"/>
          <w:szCs w:val="21"/>
        </w:rPr>
        <w:t>x</w:t>
      </w:r>
      <w:r>
        <w:rPr>
          <w:rFonts w:ascii="Times New Roman" w:eastAsia="Times New Roman"/>
          <w:i w:val="0"/>
          <w:iCs/>
          <w:sz w:val="21"/>
          <w:szCs w:val="21"/>
          <w:vertAlign w:val="subscript"/>
        </w:rPr>
        <w:t>2</w:t>
      </w:r>
      <w:r>
        <w:rPr>
          <w:rFonts w:ascii="Times New Roman" w:eastAsia="Times New Roman"/>
          <w:spacing w:val="24"/>
          <w:sz w:val="21"/>
          <w:szCs w:val="21"/>
        </w:rPr>
        <w:t xml:space="preserve">, </w:t>
      </w:r>
      <w:r>
        <w:rPr>
          <w:spacing w:val="-15"/>
          <w:sz w:val="21"/>
          <w:szCs w:val="21"/>
        </w:rPr>
        <w:t>按</w:t>
      </w:r>
      <w:r>
        <w:rPr>
          <w:rFonts w:hint="eastAsia"/>
          <w:spacing w:val="-15"/>
          <w:sz w:val="21"/>
          <w:szCs w:val="21"/>
          <w:lang w:val="en-US" w:eastAsia="zh-CN"/>
        </w:rPr>
        <w:t>公</w:t>
      </w:r>
      <w:r>
        <w:rPr>
          <w:spacing w:val="-15"/>
          <w:sz w:val="21"/>
          <w:szCs w:val="21"/>
        </w:rPr>
        <w:t>式</w:t>
      </w:r>
      <w:r>
        <w:rPr>
          <w:spacing w:val="-7"/>
          <w:sz w:val="21"/>
          <w:szCs w:val="21"/>
        </w:rPr>
        <w:t>（</w:t>
      </w:r>
      <w:r>
        <w:rPr>
          <w:rFonts w:ascii="Times New Roman" w:eastAsia="Times New Roman"/>
          <w:spacing w:val="-7"/>
          <w:sz w:val="21"/>
          <w:szCs w:val="21"/>
        </w:rPr>
        <w:t>A.3</w:t>
      </w:r>
      <w:r>
        <w:rPr>
          <w:spacing w:val="-7"/>
          <w:sz w:val="21"/>
          <w:szCs w:val="21"/>
        </w:rPr>
        <w:t>）</w:t>
      </w:r>
      <w:r>
        <w:rPr>
          <w:spacing w:val="-57"/>
          <w:sz w:val="21"/>
          <w:szCs w:val="21"/>
        </w:rPr>
        <w:t>、</w:t>
      </w:r>
      <w:r>
        <w:rPr>
          <w:sz w:val="21"/>
          <w:szCs w:val="21"/>
        </w:rPr>
        <w:t>（</w:t>
      </w:r>
      <w:r>
        <w:rPr>
          <w:rFonts w:ascii="Times New Roman" w:eastAsia="Times New Roman"/>
          <w:sz w:val="21"/>
          <w:szCs w:val="21"/>
        </w:rPr>
        <w:t>A.4</w:t>
      </w:r>
      <w:r>
        <w:rPr>
          <w:sz w:val="21"/>
          <w:szCs w:val="21"/>
        </w:rPr>
        <w:t>）计算：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t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................................</w:t>
      </w:r>
      <w:r>
        <w:rPr>
          <w:rFonts w:hint="default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</w:t>
      </w:r>
      <w:r>
        <w:rPr>
          <w:rFonts w:hint="eastAsia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ascii="Times New Roman" w:eastAsia="宋体" w:cs="Times New Roman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90" w:firstLineChars="190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t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</m:oMath>
      <w:r>
        <w:rPr>
          <w:rFonts w:hint="eastAsia" w:hAnsi="Cambria Math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....................................................................................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shd w:val="clear"/>
        <w:spacing w:line="320" w:lineRule="exact"/>
        <w:ind w:firstLine="420" w:firstLineChars="200"/>
        <w:rPr>
          <w:rFonts w:hint="eastAsia"/>
          <w:szCs w:val="21"/>
          <w:highlight w:val="none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t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的质量，单位为毫克（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bookmarkStart w:id="11" w:name="OLE_LINK3"/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1</w:t>
      </w:r>
      <w:bookmarkEnd w:id="11"/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中，内消旋酒石酸的质量，单位为毫克（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2</w:t>
      </w:r>
      <w:r>
        <w:rPr>
          <w:szCs w:val="21"/>
          <w:highlight w:val="none"/>
        </w:rPr>
        <w:t>——</w:t>
      </w:r>
      <w:r>
        <w:t>多组分标准溶液</w:t>
      </w:r>
      <w:r>
        <w:rPr>
          <w:rFonts w:ascii="Times New Roman" w:hAnsi="Times New Roman" w:eastAsia="Times New Roman"/>
        </w:rPr>
        <w:t>A</w:t>
      </w:r>
      <w:r>
        <w:t>中，</w:t>
      </w:r>
      <w:r>
        <w:rPr>
          <w:rFonts w:ascii="Times New Roman" w:hAnsi="Times New Roman" w:eastAsia="Times New Roman"/>
        </w:rPr>
        <w:t>D-</w:t>
      </w:r>
      <w:r>
        <w:t>及</w:t>
      </w:r>
      <w:r>
        <w:rPr>
          <w:rFonts w:ascii="Times New Roman" w:hAnsi="Times New Roman" w:eastAsia="Times New Roman"/>
        </w:rPr>
        <w:t>L-</w:t>
      </w:r>
      <w:r>
        <w:t>酒石酸的质量，单位为毫克（</w:t>
      </w:r>
      <w:r>
        <w:rPr>
          <w:rFonts w:ascii="Times New Roman" w:hAnsi="Times New Roman" w:eastAsia="Times New Roman"/>
        </w:rPr>
        <w:t>mg</w:t>
      </w:r>
      <w:r>
        <w:t>）。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pacing w:val="-11"/>
          <w:sz w:val="21"/>
          <w:szCs w:val="21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黑体" w:eastAsia="黑体"/>
          <w:spacing w:val="-8"/>
          <w:sz w:val="21"/>
        </w:rPr>
        <w:t>草酸标准溶液</w:t>
      </w:r>
      <w:r>
        <w:rPr>
          <w:rFonts w:hint="eastAsia" w:ascii="黑体" w:eastAsia="黑体"/>
          <w:sz w:val="21"/>
        </w:rPr>
        <w:t>B</w:t>
      </w:r>
      <w:r>
        <w:rPr>
          <w:rFonts w:hint="eastAsia" w:ascii="黑体" w:eastAsia="黑体"/>
          <w:spacing w:val="-9"/>
          <w:sz w:val="21"/>
        </w:rPr>
        <w:t>中草酸的浓度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  <w:r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按照表A.</w:t>
      </w:r>
      <w:r>
        <w:rPr>
          <w:rFonts w:hint="eastAsia" w:ascii="Times New Roman" w:hAnsi="Times New Roman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制备校准溶液(I-VII)：用移液枪分别</w:t>
      </w:r>
      <w:r>
        <w:rPr>
          <w:rFonts w:hint="eastAsia" w:ascii="Times New Roman" w:hAnsi="Times New Roman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移取</w:t>
      </w:r>
      <w:r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以下体积的草酸标准溶液B至7个50</w:t>
      </w:r>
      <w:r>
        <w:rPr>
          <w:rFonts w:hint="eastAsia" w:ascii="Times New Roman" w:hAnsi="Times New Roman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mL的烧瓶中，待分析。</w:t>
      </w:r>
    </w:p>
    <w:p>
      <w:pPr>
        <w:pStyle w:val="13"/>
        <w:spacing w:after="23"/>
        <w:ind w:left="2347" w:right="2364"/>
        <w:jc w:val="center"/>
        <w:rPr>
          <w:rFonts w:ascii="黑体" w:eastAsia="黑体"/>
        </w:rPr>
      </w:pPr>
      <w:r>
        <w:rPr>
          <w:rFonts w:hint="eastAsia" w:ascii="黑体" w:eastAsia="黑体"/>
          <w:sz w:val="21"/>
          <w:szCs w:val="21"/>
        </w:rPr>
        <w:t>表A.1校准溶液</w:t>
      </w:r>
    </w:p>
    <w:tbl>
      <w:tblPr>
        <w:tblStyle w:val="2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946"/>
        <w:gridCol w:w="944"/>
        <w:gridCol w:w="944"/>
        <w:gridCol w:w="944"/>
        <w:gridCol w:w="1018"/>
        <w:gridCol w:w="1060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72" w:type="pct"/>
          </w:tcPr>
          <w:p>
            <w:pPr>
              <w:pStyle w:val="167"/>
              <w:spacing w:before="40"/>
              <w:ind w:left="107"/>
              <w:jc w:val="center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溶液</w:t>
            </w:r>
            <w:r>
              <w:rPr>
                <w:sz w:val="18"/>
              </w:rPr>
              <w:t>(mL)</w:t>
            </w:r>
          </w:p>
        </w:tc>
        <w:tc>
          <w:tcPr>
            <w:tcW w:w="490" w:type="pct"/>
          </w:tcPr>
          <w:p>
            <w:pPr>
              <w:pStyle w:val="167"/>
              <w:spacing w:before="5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489" w:type="pct"/>
          </w:tcPr>
          <w:p>
            <w:pPr>
              <w:pStyle w:val="167"/>
              <w:spacing w:before="50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489" w:type="pct"/>
          </w:tcPr>
          <w:p>
            <w:pPr>
              <w:pStyle w:val="167"/>
              <w:spacing w:before="5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489" w:type="pct"/>
          </w:tcPr>
          <w:p>
            <w:pPr>
              <w:pStyle w:val="167"/>
              <w:spacing w:before="5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27" w:type="pct"/>
          </w:tcPr>
          <w:p>
            <w:pPr>
              <w:pStyle w:val="167"/>
              <w:spacing w:before="50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549" w:type="pct"/>
          </w:tcPr>
          <w:p>
            <w:pPr>
              <w:pStyle w:val="167"/>
              <w:spacing w:before="50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489" w:type="pct"/>
          </w:tcPr>
          <w:p>
            <w:pPr>
              <w:pStyle w:val="167"/>
              <w:spacing w:before="50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2" w:type="pct"/>
          </w:tcPr>
          <w:p>
            <w:pPr>
              <w:pStyle w:val="167"/>
              <w:spacing w:before="41"/>
              <w:ind w:left="107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草酸标准溶液</w:t>
            </w:r>
            <w:r>
              <w:rPr>
                <w:sz w:val="18"/>
              </w:rPr>
              <w:t>B(A.</w:t>
            </w: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  <w:r>
              <w:rPr>
                <w:sz w:val="18"/>
              </w:rPr>
              <w:t>.</w:t>
            </w:r>
            <w:r>
              <w:rPr>
                <w:rFonts w:hint="eastAsia" w:eastAsia="宋体"/>
                <w:sz w:val="18"/>
                <w:lang w:val="en-US" w:eastAsia="zh-CN"/>
              </w:rPr>
              <w:t>4</w:t>
            </w:r>
            <w:r>
              <w:rPr>
                <w:sz w:val="18"/>
              </w:rPr>
              <w:t>.2.2)</w:t>
            </w:r>
          </w:p>
        </w:tc>
        <w:tc>
          <w:tcPr>
            <w:tcW w:w="490" w:type="pct"/>
          </w:tcPr>
          <w:p>
            <w:pPr>
              <w:pStyle w:val="167"/>
              <w:spacing w:before="5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9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489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9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27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549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489" w:type="pct"/>
          </w:tcPr>
          <w:p>
            <w:pPr>
              <w:pStyle w:val="167"/>
              <w:spacing w:before="5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</w:tr>
    </w:tbl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  <w:r>
        <w:rPr>
          <w:rFonts w:hint="eastAsia"/>
          <w:sz w:val="21"/>
          <w:szCs w:val="21"/>
          <w:lang w:val="en-US" w:eastAsia="zh-CN"/>
        </w:rPr>
        <w:t>加入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mL</w:t>
      </w:r>
      <w:r>
        <w:rPr>
          <w:spacing w:val="-8"/>
          <w:sz w:val="21"/>
          <w:szCs w:val="21"/>
        </w:rPr>
        <w:t>的硫酸</w:t>
      </w:r>
      <w:r>
        <w:rPr>
          <w:spacing w:val="-3"/>
          <w:sz w:val="21"/>
          <w:szCs w:val="21"/>
        </w:rPr>
        <w:t>（A.</w:t>
      </w:r>
      <w:r>
        <w:rPr>
          <w:rFonts w:hint="eastAsia"/>
          <w:spacing w:val="-3"/>
          <w:sz w:val="21"/>
          <w:szCs w:val="21"/>
          <w:lang w:val="en-US" w:eastAsia="zh-CN"/>
        </w:rPr>
        <w:t>3</w:t>
      </w:r>
      <w:r>
        <w:rPr>
          <w:spacing w:val="-3"/>
          <w:sz w:val="21"/>
          <w:szCs w:val="21"/>
        </w:rPr>
        <w:t>.</w:t>
      </w:r>
      <w:r>
        <w:rPr>
          <w:rFonts w:hint="eastAsia"/>
          <w:spacing w:val="-3"/>
          <w:sz w:val="21"/>
          <w:szCs w:val="21"/>
          <w:lang w:val="en-US" w:eastAsia="zh-CN"/>
        </w:rPr>
        <w:t>2</w:t>
      </w:r>
      <w:r>
        <w:rPr>
          <w:spacing w:val="-3"/>
          <w:sz w:val="21"/>
          <w:szCs w:val="21"/>
        </w:rPr>
        <w:t>.1）</w:t>
      </w:r>
      <w:r>
        <w:rPr>
          <w:spacing w:val="-4"/>
          <w:sz w:val="21"/>
          <w:szCs w:val="21"/>
        </w:rPr>
        <w:t>确定总质量，将结果精确到</w:t>
      </w:r>
      <w:r>
        <w:rPr>
          <w:sz w:val="21"/>
          <w:szCs w:val="21"/>
        </w:rPr>
        <w:t>0.1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mg</w:t>
      </w:r>
      <w:r>
        <w:rPr>
          <w:spacing w:val="-8"/>
          <w:sz w:val="21"/>
          <w:szCs w:val="21"/>
        </w:rPr>
        <w:t>。用表</w:t>
      </w:r>
      <w:r>
        <w:rPr>
          <w:sz w:val="21"/>
          <w:szCs w:val="21"/>
        </w:rPr>
        <w:t>A.1中7</w:t>
      </w:r>
      <w:r>
        <w:rPr>
          <w:spacing w:val="-3"/>
          <w:sz w:val="21"/>
          <w:szCs w:val="21"/>
        </w:rPr>
        <w:t>个标准溶液</w:t>
      </w:r>
      <w:r>
        <w:rPr>
          <w:sz w:val="21"/>
          <w:szCs w:val="21"/>
        </w:rPr>
        <w:t>来绘制曲线计算方程（A.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.1.2）。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草酸标准溶液</w:t>
      </w:r>
      <w:r>
        <w:rPr>
          <w:rFonts w:ascii="Times New Roman" w:eastAsia="Times New Roman"/>
          <w:sz w:val="21"/>
          <w:szCs w:val="21"/>
        </w:rPr>
        <w:t>B</w:t>
      </w:r>
      <w:r>
        <w:rPr>
          <w:sz w:val="21"/>
          <w:szCs w:val="21"/>
        </w:rPr>
        <w:t>中草酸的</w:t>
      </w:r>
      <w:r>
        <w:rPr>
          <w:rFonts w:hint="eastAsia"/>
          <w:sz w:val="21"/>
          <w:szCs w:val="21"/>
          <w:lang w:val="en-US" w:eastAsia="zh-CN"/>
        </w:rPr>
        <w:t>质量</w:t>
      </w:r>
      <w:r>
        <w:rPr>
          <w:rFonts w:ascii="Times New Roman" w:eastAsia="Times New Roman"/>
          <w:i/>
          <w:sz w:val="21"/>
          <w:szCs w:val="21"/>
        </w:rPr>
        <w:t>M</w:t>
      </w:r>
      <w:r>
        <w:rPr>
          <w:rFonts w:ascii="Times New Roman" w:eastAsia="Times New Roman"/>
          <w:i w:val="0"/>
          <w:iCs/>
          <w:sz w:val="21"/>
          <w:szCs w:val="21"/>
          <w:vertAlign w:val="subscript"/>
        </w:rPr>
        <w:t>3</w:t>
      </w:r>
      <w:r>
        <w:rPr>
          <w:rFonts w:hint="eastAsia"/>
          <w:i w:val="0"/>
          <w:iCs/>
          <w:sz w:val="21"/>
          <w:szCs w:val="21"/>
          <w:vertAlign w:val="baseline"/>
          <w:lang w:val="en-US" w:eastAsia="zh-CN"/>
        </w:rPr>
        <w:t>和</w:t>
      </w:r>
      <w:r>
        <w:rPr>
          <w:sz w:val="21"/>
          <w:szCs w:val="21"/>
        </w:rPr>
        <w:t>浓度</w:t>
      </w:r>
      <w:r>
        <w:rPr>
          <w:rFonts w:ascii="Times New Roman" w:hAnsi="Times New Roman" w:eastAsia="Times New Roman"/>
          <w:i/>
        </w:rPr>
        <w:t>x</w:t>
      </w:r>
      <w:r>
        <w:rPr>
          <w:rFonts w:ascii="Times New Roman" w:hAnsi="Times New Roman" w:eastAsia="Times New Roman"/>
          <w:i w:val="0"/>
          <w:iCs/>
          <w:vertAlign w:val="subscript"/>
        </w:rPr>
        <w:t>3</w:t>
      </w:r>
      <w:r>
        <w:rPr>
          <w:rFonts w:hint="eastAsia"/>
          <w:i w:val="0"/>
          <w:iCs/>
          <w:vertAlign w:val="baseline"/>
          <w:lang w:eastAsia="zh-CN"/>
        </w:rPr>
        <w:t>，</w:t>
      </w:r>
      <w:r>
        <w:rPr>
          <w:sz w:val="21"/>
          <w:szCs w:val="21"/>
        </w:rPr>
        <w:t>按公式（</w:t>
      </w:r>
      <w:r>
        <w:rPr>
          <w:rFonts w:ascii="Times New Roman" w:eastAsia="Times New Roman"/>
          <w:sz w:val="21"/>
          <w:szCs w:val="21"/>
        </w:rPr>
        <w:t>A.5</w:t>
      </w:r>
      <w:r>
        <w:rPr>
          <w:sz w:val="21"/>
          <w:szCs w:val="21"/>
        </w:rPr>
        <w:t>）、</w:t>
      </w:r>
      <w:r>
        <w:rPr>
          <w:rFonts w:ascii="Times New Roman" w:eastAsia="Times New Roman"/>
          <w:sz w:val="21"/>
          <w:szCs w:val="21"/>
        </w:rPr>
        <w:t>(A.6)</w:t>
      </w:r>
      <w:r>
        <w:rPr>
          <w:sz w:val="21"/>
          <w:szCs w:val="21"/>
        </w:rPr>
        <w:t xml:space="preserve">计算： 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bookmarkStart w:id="12" w:name="OLE_LINK6"/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cq3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highlight w:val="none"/>
          </w:rPr>
          <m:t>×</m:t>
        </m:r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[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highlight w:val="none"/>
                <w:lang w:val="en-US" w:eastAsia="zh-CN"/>
              </w:rPr>
              <m:t>90.0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highlight w:val="none"/>
                <w:lang w:val="en-US" w:eastAsia="zh-CN"/>
              </w:rPr>
              <m:t>126.1</m:t>
            </m: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]</m:t>
        </m:r>
      </m:oMath>
      <w:r>
        <w:rPr>
          <w:rFonts w:hint="default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</w:t>
      </w:r>
      <w:r>
        <w:rPr>
          <w:rFonts w:hint="eastAsia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ascii="Times New Roman" w:eastAsia="宋体" w:cs="Times New Roman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  <w:bookmarkEnd w:id="12"/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3</w:t>
      </w:r>
      <w:r>
        <w:rPr>
          <w:szCs w:val="21"/>
          <w:highlight w:val="none"/>
        </w:rPr>
        <w:t>——</w:t>
      </w:r>
      <w:r>
        <w:t>草酸标准溶液</w:t>
      </w:r>
      <w:r>
        <w:rPr>
          <w:rFonts w:ascii="Times New Roman" w:hAnsi="Times New Roman" w:eastAsia="Times New Roman"/>
        </w:rPr>
        <w:t>B</w:t>
      </w:r>
      <w:r>
        <w:t>中草酸的含量，单位为毫克（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cq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3</w:t>
      </w:r>
      <w:r>
        <w:rPr>
          <w:szCs w:val="21"/>
          <w:highlight w:val="none"/>
        </w:rPr>
        <w:t>——</w:t>
      </w:r>
      <w:r>
        <w:t>草酸标准溶液</w:t>
      </w:r>
      <w:r>
        <w:rPr>
          <w:rFonts w:ascii="Times New Roman" w:hAnsi="Times New Roman" w:eastAsia="Times New Roman"/>
        </w:rPr>
        <w:t>B</w:t>
      </w:r>
      <w:r>
        <w:t>中二水合草酸的含量，单位为毫克（</w:t>
      </w:r>
      <w:r>
        <w:rPr>
          <w:rFonts w:ascii="Times New Roman" w:hAnsi="Times New Roman" w:eastAsia="Times New Roman"/>
        </w:rPr>
        <w:t>mg</w:t>
      </w:r>
      <w:r>
        <w:rPr>
          <w:spacing w:val="-5"/>
        </w:rP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i/>
          <w:szCs w:val="21"/>
          <w:highlight w:val="none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90.0</w:t>
      </w:r>
      <w:r>
        <w:rPr>
          <w:szCs w:val="21"/>
          <w:highlight w:val="none"/>
        </w:rPr>
        <w:t>——</w:t>
      </w:r>
      <w:r>
        <w:t>草酸的分子量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rFonts w:hint="eastAsia" w:eastAsia="宋体"/>
          <w:szCs w:val="21"/>
          <w:highlight w:val="none"/>
          <w:lang w:eastAsia="zh-CN"/>
        </w:rPr>
      </w:pPr>
      <w:r>
        <w:rPr>
          <w:rFonts w:hint="eastAsia"/>
          <w:i w:val="0"/>
          <w:iCs/>
          <w:szCs w:val="21"/>
          <w:highlight w:val="none"/>
          <w:lang w:val="en-US" w:eastAsia="zh-CN"/>
        </w:rPr>
        <w:t>126.1</w:t>
      </w:r>
      <w:r>
        <w:rPr>
          <w:szCs w:val="21"/>
          <w:highlight w:val="none"/>
        </w:rPr>
        <w:t>——</w:t>
      </w:r>
      <w:r>
        <w:t>二水合草酸的分子量</w:t>
      </w:r>
      <w:r>
        <w:rPr>
          <w:rFonts w:hint="eastAsia"/>
          <w:lang w:eastAsia="zh-CN"/>
        </w:rPr>
        <w:t>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default" w:ascii="Times New Roman" w:hAnsi="Times New Roman" w:eastAsia="宋体" w:cs="Times New Roman"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m:oMath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f>
          <m:f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o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  <w:highlight w:val="none"/>
          </w:rPr>
          <m:t>×</m:t>
        </m:r>
        <m:f>
          <m:fPr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cq4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m:t>aq</m:t>
                </m:r>
                <m:ctrlPr>
                  <w:rPr>
                    <w:rFonts w:hint="default" w:ascii="Cambria Math" w:hAnsi="Cambria Math" w:eastAsia="Times New Roman" w:cs="Times New Roman"/>
                    <w:i/>
                    <w:iCs/>
                    <w:kern w:val="0"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default" w:ascii="Cambria Math" w:hAnsi="Cambria Math" w:eastAsia="Times New Roman" w:cs="Times New Roman"/>
                <w:i/>
                <w:iCs/>
                <w:kern w:val="0"/>
                <w:sz w:val="21"/>
                <w:szCs w:val="21"/>
                <w:highlight w:val="none"/>
              </w:rPr>
            </m:ctrlPr>
          </m:den>
        </m:f>
      </m:oMath>
      <w:r>
        <w:rPr>
          <w:rFonts w:hint="default" w:ascii="Times New Roman" w:hAnsi="Times New Roman" w:eastAsia="宋体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</w:t>
      </w:r>
      <w:r>
        <w:rPr>
          <w:rFonts w:hint="eastAsia" w:ascii="Times New Roman" w:hAnsi="Times New Roman" w:eastAsia="宋体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ascii="Times New Roman" w:eastAsia="宋体" w:cs="Times New Roman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o</w:t>
      </w:r>
      <w:r>
        <w:rPr>
          <w:szCs w:val="21"/>
          <w:highlight w:val="none"/>
        </w:rPr>
        <w:t>——</w:t>
      </w:r>
      <w:r>
        <w:t>草酸标准溶液</w:t>
      </w:r>
      <w:r>
        <w:rPr>
          <w:rFonts w:ascii="Times New Roman" w:hAnsi="Times New Roman" w:eastAsia="Times New Roman"/>
        </w:rPr>
        <w:t>B</w:t>
      </w:r>
      <w:r>
        <w:t>的质量，单位为克（</w:t>
      </w:r>
      <w:r>
        <w:rPr>
          <w:rFonts w:ascii="Times New Roman" w:hAnsi="Times New Roman" w:eastAsia="Times New Roman"/>
        </w:rPr>
        <w:t>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bookmarkStart w:id="13" w:name="OLE_LINK11"/>
      <w:r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M</w:t>
      </w:r>
      <w:r>
        <w:rPr>
          <w:rFonts w:hint="eastAsia" w:cs="Times New Roman"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3</w:t>
      </w:r>
      <w:r>
        <w:rPr>
          <w:szCs w:val="21"/>
          <w:highlight w:val="none"/>
        </w:rPr>
        <w:t>——</w:t>
      </w:r>
      <w:r>
        <w:t>草酸标准溶液</w:t>
      </w:r>
      <w:r>
        <w:rPr>
          <w:rFonts w:ascii="Times New Roman" w:hAnsi="Times New Roman" w:eastAsia="Times New Roman"/>
        </w:rPr>
        <w:t>B</w:t>
      </w:r>
      <w:r>
        <w:t>中草酸的质量，单位为毫克（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szCs w:val="21"/>
          <w:highlight w:val="none"/>
        </w:rPr>
        <w:t>；</w:t>
      </w:r>
      <w:bookmarkEnd w:id="13"/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cq</w:t>
      </w:r>
      <w:r>
        <w:rPr>
          <w:rFonts w:hint="eastAsia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4</w:t>
      </w:r>
      <w:r>
        <w:rPr>
          <w:szCs w:val="21"/>
          <w:highlight w:val="none"/>
        </w:rPr>
        <w:t>——</w:t>
      </w:r>
      <w:r>
        <w:t>表</w:t>
      </w:r>
      <w:r>
        <w:rPr>
          <w:rFonts w:ascii="Times New Roman" w:hAnsi="Times New Roman" w:eastAsia="Times New Roman"/>
        </w:rPr>
        <w:t>A.1</w:t>
      </w:r>
      <w:r>
        <w:t>中</w:t>
      </w:r>
      <w:r>
        <w:rPr>
          <w:rFonts w:hint="eastAsia"/>
          <w:lang w:val="en-US" w:eastAsia="zh-CN"/>
        </w:rPr>
        <w:t>移取</w:t>
      </w:r>
      <w:r>
        <w:t>的草酸标准溶液</w:t>
      </w:r>
      <w:r>
        <w:rPr>
          <w:rFonts w:ascii="Times New Roman" w:hAnsi="Times New Roman" w:eastAsia="Times New Roman"/>
        </w:rPr>
        <w:t>B</w:t>
      </w:r>
      <w:r>
        <w:t>的质量，单位为克（</w:t>
      </w:r>
      <w:r>
        <w:rPr>
          <w:rFonts w:ascii="Times New Roman" w:hAnsi="Times New Roman" w:eastAsia="Times New Roman"/>
        </w:rPr>
        <w:t>g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rFonts w:hint="eastAsia" w:eastAsia="宋体"/>
          <w:i/>
          <w:szCs w:val="21"/>
          <w:highlight w:val="none"/>
          <w:lang w:val="en-US" w:eastAsia="zh-CN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aq</w:t>
      </w:r>
      <w:r>
        <w:rPr>
          <w:szCs w:val="21"/>
          <w:highlight w:val="none"/>
        </w:rPr>
        <w:t>——</w:t>
      </w:r>
      <w:r>
        <w:t>表</w:t>
      </w:r>
      <w:r>
        <w:rPr>
          <w:rFonts w:ascii="Times New Roman" w:hAnsi="Times New Roman" w:eastAsia="Times New Roman"/>
        </w:rPr>
        <w:t>A.1</w:t>
      </w:r>
      <w:r>
        <w:t>中配制好的草酸标准溶液</w:t>
      </w:r>
      <w:r>
        <w:rPr>
          <w:rFonts w:ascii="Times New Roman" w:hAnsi="Times New Roman" w:eastAsia="Times New Roman"/>
        </w:rPr>
        <w:t>B</w:t>
      </w:r>
      <w:r>
        <w:t>的质量，单位为毫克（</w:t>
      </w:r>
      <w:r>
        <w:rPr>
          <w:rFonts w:ascii="Times New Roman" w:hAnsi="Times New Roman" w:eastAsia="Times New Roman"/>
        </w:rPr>
        <w:t>mg</w:t>
      </w:r>
      <w:r>
        <w:t>）</w:t>
      </w:r>
      <w:r>
        <w:rPr>
          <w:rFonts w:hint="eastAsia"/>
          <w:lang w:eastAsia="zh-CN"/>
        </w:rPr>
        <w:t>。</w:t>
      </w:r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pacing w:val="-11"/>
          <w:sz w:val="21"/>
          <w:szCs w:val="21"/>
          <w:lang w:eastAsia="zh-CN"/>
        </w:rPr>
      </w:pPr>
      <w:bookmarkStart w:id="14" w:name="OLE_LINK12"/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黑体" w:eastAsia="黑体"/>
          <w:sz w:val="21"/>
        </w:rPr>
        <w:t>测试样品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称取</w:t>
      </w:r>
      <w:r>
        <w:rPr>
          <w:rFonts w:ascii="Times New Roman" w:eastAsia="Times New Roman"/>
          <w:sz w:val="21"/>
          <w:szCs w:val="21"/>
        </w:rPr>
        <w:t>500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mg</w:t>
      </w:r>
      <w:r>
        <w:rPr>
          <w:spacing w:val="-13"/>
          <w:sz w:val="21"/>
          <w:szCs w:val="21"/>
        </w:rPr>
        <w:t>样品，置于</w:t>
      </w:r>
      <w:r>
        <w:rPr>
          <w:rFonts w:ascii="Times New Roman" w:eastAsia="Times New Roman"/>
          <w:sz w:val="21"/>
          <w:szCs w:val="21"/>
        </w:rPr>
        <w:t>50 mL</w:t>
      </w:r>
      <w:r>
        <w:rPr>
          <w:spacing w:val="-11"/>
          <w:sz w:val="21"/>
          <w:szCs w:val="21"/>
        </w:rPr>
        <w:t>烧瓶中，使用</w:t>
      </w:r>
      <w:r>
        <w:rPr>
          <w:rFonts w:ascii="Times New Roman" w:eastAsia="Times New Roman"/>
          <w:sz w:val="21"/>
          <w:szCs w:val="21"/>
        </w:rPr>
        <w:t>25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mL</w:t>
      </w:r>
      <w:r>
        <w:rPr>
          <w:spacing w:val="-11"/>
          <w:sz w:val="21"/>
          <w:szCs w:val="21"/>
        </w:rPr>
        <w:t>水稀释，加入</w:t>
      </w:r>
      <w:r>
        <w:rPr>
          <w:rFonts w:ascii="Times New Roman" w:eastAsia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mL NaOH</w:t>
      </w:r>
      <w:r>
        <w:rPr>
          <w:spacing w:val="-32"/>
          <w:sz w:val="21"/>
          <w:szCs w:val="21"/>
        </w:rPr>
        <w:t>溶液</w:t>
      </w:r>
      <w:r>
        <w:rPr>
          <w:spacing w:val="-7"/>
          <w:sz w:val="21"/>
          <w:szCs w:val="21"/>
        </w:rPr>
        <w:t>（</w:t>
      </w:r>
      <w:r>
        <w:rPr>
          <w:rFonts w:ascii="Times New Roman" w:eastAsia="Times New Roman"/>
          <w:spacing w:val="-7"/>
          <w:sz w:val="21"/>
          <w:szCs w:val="21"/>
        </w:rPr>
        <w:t>A.</w:t>
      </w:r>
      <w:r>
        <w:rPr>
          <w:rFonts w:hint="eastAsia"/>
          <w:spacing w:val="-7"/>
          <w:sz w:val="21"/>
          <w:szCs w:val="21"/>
          <w:lang w:val="en-US" w:eastAsia="zh-CN"/>
        </w:rPr>
        <w:t>3</w:t>
      </w:r>
      <w:r>
        <w:rPr>
          <w:rFonts w:ascii="Times New Roman" w:eastAsia="Times New Roman"/>
          <w:spacing w:val="-7"/>
          <w:sz w:val="21"/>
          <w:szCs w:val="21"/>
        </w:rPr>
        <w:t>.</w:t>
      </w:r>
      <w:r>
        <w:rPr>
          <w:rFonts w:hint="eastAsia"/>
          <w:spacing w:val="-7"/>
          <w:sz w:val="21"/>
          <w:szCs w:val="21"/>
          <w:lang w:val="en-US" w:eastAsia="zh-CN"/>
        </w:rPr>
        <w:t>2</w:t>
      </w:r>
      <w:r>
        <w:rPr>
          <w:rFonts w:ascii="Times New Roman" w:eastAsia="Times New Roman"/>
          <w:spacing w:val="-7"/>
          <w:sz w:val="21"/>
          <w:szCs w:val="21"/>
        </w:rPr>
        <w:t>.6</w:t>
      </w:r>
      <w:r>
        <w:rPr>
          <w:spacing w:val="-7"/>
          <w:sz w:val="21"/>
          <w:szCs w:val="21"/>
        </w:rPr>
        <w:t>），</w:t>
      </w:r>
      <w:r>
        <w:rPr>
          <w:sz w:val="21"/>
          <w:szCs w:val="21"/>
        </w:rPr>
        <w:t>静置至少</w:t>
      </w:r>
      <w:r>
        <w:rPr>
          <w:rFonts w:ascii="Times New Roman" w:eastAsia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>h</w:t>
      </w:r>
      <w:r>
        <w:rPr>
          <w:sz w:val="21"/>
          <w:szCs w:val="21"/>
        </w:rPr>
        <w:t>使得</w:t>
      </w:r>
      <w:r>
        <w:rPr>
          <w:rFonts w:ascii="Times New Roman" w:eastAsia="Times New Roman"/>
          <w:sz w:val="21"/>
          <w:szCs w:val="21"/>
        </w:rPr>
        <w:t>Fe(OH)</w:t>
      </w:r>
      <w:r>
        <w:rPr>
          <w:rFonts w:ascii="Times New Roman" w:eastAsia="Times New Roman"/>
          <w:sz w:val="21"/>
          <w:szCs w:val="21"/>
          <w:vertAlign w:val="subscript"/>
        </w:rPr>
        <w:t>3</w:t>
      </w:r>
      <w:r>
        <w:rPr>
          <w:sz w:val="21"/>
          <w:szCs w:val="21"/>
        </w:rPr>
        <w:t>充分沉淀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确定总质量，精确到</w:t>
      </w:r>
      <w:r>
        <w:rPr>
          <w:rFonts w:ascii="Times New Roman" w:eastAsia="Times New Roman"/>
          <w:sz w:val="21"/>
          <w:szCs w:val="21"/>
        </w:rPr>
        <w:t>0.1 mg</w:t>
      </w:r>
      <w:r>
        <w:rPr>
          <w:sz w:val="21"/>
          <w:szCs w:val="21"/>
        </w:rPr>
        <w:t>。测试样品溶液经注射器式</w:t>
      </w:r>
      <w:r>
        <w:rPr>
          <w:rFonts w:hint="eastAsia"/>
          <w:sz w:val="21"/>
          <w:szCs w:val="21"/>
          <w:lang w:val="en-US" w:eastAsia="zh-CN"/>
        </w:rPr>
        <w:t>过</w:t>
      </w:r>
      <w:r>
        <w:rPr>
          <w:sz w:val="21"/>
          <w:szCs w:val="21"/>
        </w:rPr>
        <w:t>滤器过滤后，注入小玻璃瓶中，待分析。</w:t>
      </w:r>
      <w:bookmarkEnd w:id="14"/>
    </w:p>
    <w:p>
      <w:pPr>
        <w:pStyle w:val="16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pacing w:val="-11"/>
          <w:sz w:val="21"/>
          <w:szCs w:val="21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A.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3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en-US" w:bidi="en-US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>6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黑体" w:eastAsia="黑体"/>
          <w:sz w:val="21"/>
          <w:lang w:val="en-US" w:eastAsia="zh-CN"/>
        </w:rPr>
        <w:t>测定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376" w:firstLineChars="200"/>
        <w:jc w:val="both"/>
        <w:textAlignment w:val="auto"/>
        <w:outlineLvl w:val="9"/>
        <w:rPr>
          <w:spacing w:val="-8"/>
          <w:sz w:val="21"/>
          <w:szCs w:val="21"/>
        </w:rPr>
      </w:pPr>
      <w:r>
        <w:rPr>
          <w:spacing w:val="-11"/>
          <w:sz w:val="21"/>
          <w:szCs w:val="21"/>
        </w:rPr>
        <w:t>分别注射</w:t>
      </w:r>
      <w:r>
        <w:rPr>
          <w:rFonts w:ascii="Times New Roman" w:hAnsi="Times New Roman" w:eastAsia="Times New Roman"/>
          <w:sz w:val="21"/>
          <w:szCs w:val="21"/>
        </w:rPr>
        <w:t>20 µL</w:t>
      </w:r>
      <w:r>
        <w:rPr>
          <w:spacing w:val="-7"/>
          <w:sz w:val="21"/>
          <w:szCs w:val="21"/>
        </w:rPr>
        <w:t xml:space="preserve">的多组分标准溶液 </w:t>
      </w:r>
      <w:r>
        <w:rPr>
          <w:rFonts w:ascii="Times New Roman" w:hAnsi="Times New Roman" w:eastAsia="Times New Roman"/>
          <w:sz w:val="21"/>
          <w:szCs w:val="21"/>
        </w:rPr>
        <w:t>A</w:t>
      </w:r>
      <w:r>
        <w:rPr>
          <w:sz w:val="21"/>
          <w:szCs w:val="21"/>
        </w:rPr>
        <w:t>（</w:t>
      </w:r>
      <w:r>
        <w:rPr>
          <w:rFonts w:ascii="Times New Roman" w:hAnsi="Times New Roman" w:eastAsia="Times New Roman"/>
          <w:sz w:val="21"/>
          <w:szCs w:val="21"/>
        </w:rPr>
        <w:t>A.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/>
          <w:sz w:val="21"/>
          <w:szCs w:val="21"/>
        </w:rPr>
        <w:t>.2.1</w:t>
      </w:r>
      <w:r>
        <w:rPr>
          <w:sz w:val="21"/>
          <w:szCs w:val="21"/>
        </w:rPr>
        <w:t>）</w:t>
      </w:r>
      <w:r>
        <w:rPr>
          <w:spacing w:val="-7"/>
          <w:sz w:val="21"/>
          <w:szCs w:val="21"/>
        </w:rPr>
        <w:t xml:space="preserve">，草酸标准溶液 </w:t>
      </w:r>
      <w:r>
        <w:rPr>
          <w:rFonts w:ascii="Times New Roman" w:hAnsi="Times New Roman" w:eastAsia="Times New Roman"/>
          <w:sz w:val="21"/>
          <w:szCs w:val="21"/>
        </w:rPr>
        <w:t>B</w:t>
      </w:r>
      <w:r>
        <w:rPr>
          <w:sz w:val="21"/>
          <w:szCs w:val="21"/>
        </w:rPr>
        <w:t>（</w:t>
      </w:r>
      <w:r>
        <w:rPr>
          <w:rFonts w:ascii="Times New Roman" w:hAnsi="Times New Roman" w:eastAsia="Times New Roman"/>
          <w:sz w:val="21"/>
          <w:szCs w:val="21"/>
        </w:rPr>
        <w:t>A.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/>
          <w:sz w:val="21"/>
          <w:szCs w:val="21"/>
        </w:rPr>
        <w:t>.4</w:t>
      </w:r>
      <w:r>
        <w:rPr>
          <w:sz w:val="21"/>
          <w:szCs w:val="21"/>
        </w:rPr>
        <w:t>），和过</w:t>
      </w:r>
      <w:r>
        <w:rPr>
          <w:spacing w:val="-8"/>
          <w:sz w:val="21"/>
          <w:szCs w:val="21"/>
        </w:rPr>
        <w:t>滤后的测试样品溶液（</w:t>
      </w:r>
      <w:r>
        <w:rPr>
          <w:rFonts w:ascii="Times New Roman" w:hAnsi="Times New Roman" w:eastAsia="Times New Roman"/>
          <w:spacing w:val="-8"/>
          <w:sz w:val="21"/>
          <w:szCs w:val="21"/>
        </w:rPr>
        <w:t>A.</w:t>
      </w:r>
      <w:r>
        <w:rPr>
          <w:rFonts w:hint="eastAsia"/>
          <w:spacing w:val="-8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spacing w:val="-8"/>
          <w:sz w:val="21"/>
          <w:szCs w:val="21"/>
        </w:rPr>
        <w:t>.</w:t>
      </w:r>
      <w:r>
        <w:rPr>
          <w:rFonts w:hint="eastAsia"/>
          <w:spacing w:val="-8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/>
          <w:spacing w:val="-8"/>
          <w:sz w:val="21"/>
          <w:szCs w:val="21"/>
        </w:rPr>
        <w:t>.5</w:t>
      </w:r>
      <w:r>
        <w:rPr>
          <w:spacing w:val="-8"/>
          <w:sz w:val="21"/>
          <w:szCs w:val="21"/>
        </w:rPr>
        <w:t>）到液相色谱仪中</w:t>
      </w:r>
      <w:r>
        <w:rPr>
          <w:rFonts w:hint="eastAsia"/>
          <w:spacing w:val="-8"/>
          <w:sz w:val="21"/>
          <w:szCs w:val="21"/>
          <w:lang w:eastAsia="zh-CN"/>
        </w:rPr>
        <w:t>，</w:t>
      </w:r>
      <w:r>
        <w:rPr>
          <w:spacing w:val="-8"/>
          <w:sz w:val="21"/>
          <w:szCs w:val="21"/>
        </w:rPr>
        <w:t>使用</w:t>
      </w:r>
      <w:r>
        <w:rPr>
          <w:rFonts w:hint="eastAsia"/>
          <w:spacing w:val="-8"/>
          <w:sz w:val="21"/>
          <w:szCs w:val="21"/>
          <w:lang w:val="en-US" w:eastAsia="zh-CN"/>
        </w:rPr>
        <w:t>示差</w:t>
      </w:r>
      <w:r>
        <w:rPr>
          <w:spacing w:val="-8"/>
          <w:sz w:val="21"/>
          <w:szCs w:val="21"/>
        </w:rPr>
        <w:t>折光检测器记录液相色谱法的结果，并确定各组分的峰值面积（</w:t>
      </w:r>
      <w:r>
        <w:rPr>
          <w:rFonts w:ascii="Times New Roman" w:hAnsi="Times New Roman" w:eastAsia="Times New Roman"/>
          <w:spacing w:val="-8"/>
          <w:sz w:val="21"/>
          <w:szCs w:val="21"/>
        </w:rPr>
        <w:t>=</w:t>
      </w:r>
      <w:r>
        <w:rPr>
          <w:rFonts w:ascii="Times New Roman" w:hAnsi="Times New Roman" w:eastAsia="Times New Roman"/>
          <w:i/>
          <w:spacing w:val="-8"/>
          <w:sz w:val="21"/>
          <w:szCs w:val="21"/>
        </w:rPr>
        <w:t>A</w:t>
      </w:r>
      <w:r>
        <w:rPr>
          <w:spacing w:val="-8"/>
          <w:sz w:val="21"/>
          <w:szCs w:val="21"/>
        </w:rPr>
        <w:t>）。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textAlignment w:val="baseline"/>
        <w:outlineLvl w:val="1"/>
        <w:rPr>
          <w:rFonts w:hint="eastAsia" w:hAnsi="黑体"/>
          <w:szCs w:val="21"/>
          <w:highlight w:val="none"/>
          <w:lang w:val="en-US" w:eastAsia="zh-CN"/>
        </w:rPr>
      </w:pPr>
      <w:r>
        <w:rPr>
          <w:rFonts w:hint="default" w:hAnsi="黑体"/>
          <w:szCs w:val="21"/>
          <w:highlight w:val="none"/>
          <w:lang w:val="en-US" w:eastAsia="en-US"/>
        </w:rPr>
        <w:t>A.</w:t>
      </w:r>
      <w:r>
        <w:rPr>
          <w:rFonts w:hint="eastAsia" w:hAnsi="黑体"/>
          <w:szCs w:val="21"/>
          <w:highlight w:val="none"/>
          <w:lang w:val="en-US" w:eastAsia="zh-CN"/>
        </w:rPr>
        <w:t>3</w:t>
      </w:r>
      <w:r>
        <w:rPr>
          <w:rFonts w:hint="default" w:hAnsi="黑体"/>
          <w:szCs w:val="21"/>
          <w:highlight w:val="none"/>
          <w:lang w:val="en-US" w:eastAsia="en-US"/>
        </w:rPr>
        <w:t>.</w:t>
      </w:r>
      <w:r>
        <w:rPr>
          <w:rFonts w:hint="eastAsia" w:hAnsi="黑体"/>
          <w:szCs w:val="21"/>
          <w:highlight w:val="none"/>
          <w:lang w:val="en-US" w:eastAsia="zh-CN"/>
        </w:rPr>
        <w:t>5</w:t>
      </w:r>
      <w:r>
        <w:rPr>
          <w:rFonts w:hint="default" w:hAnsi="黑体"/>
          <w:szCs w:val="21"/>
          <w:highlight w:val="none"/>
          <w:lang w:val="en-US" w:eastAsia="zh-CN"/>
        </w:rPr>
        <w:t xml:space="preserve">  </w:t>
      </w:r>
      <w:r>
        <w:rPr>
          <w:rFonts w:hint="eastAsia" w:hAnsi="黑体"/>
          <w:szCs w:val="21"/>
          <w:highlight w:val="none"/>
          <w:lang w:val="en-US" w:eastAsia="zh-CN"/>
        </w:rPr>
        <w:t>结果计算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A.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3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zh-TW" w:eastAsia="zh-TW" w:bidi="ar-SA"/>
        </w:rPr>
        <w:t>1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 xml:space="preserve">  </w:t>
      </w:r>
      <w:r>
        <w:rPr>
          <w:rFonts w:hint="eastAsia" w:ascii="黑体" w:eastAsia="黑体"/>
          <w:sz w:val="21"/>
        </w:rPr>
        <w:t>标准曲线绘制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textAlignment w:val="baseline"/>
        <w:outlineLvl w:val="1"/>
        <w:rPr>
          <w:rFonts w:hint="default" w:ascii="Times New Roman" w:hAnsi="Times New Roman" w:eastAsia="宋体" w:cs="Times New Roman"/>
          <w:sz w:val="21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</w:t>
      </w:r>
      <w:r>
        <w:rPr>
          <w:rFonts w:hint="eastAsia" w:hAnsi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5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.1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</w:t>
      </w:r>
      <w:r>
        <w:rPr>
          <w:rFonts w:hint="default" w:ascii="Times New Roman" w:hAnsi="Times New Roman" w:eastAsia="宋体" w:cs="Times New Roman"/>
          <w:sz w:val="21"/>
        </w:rPr>
        <w:t>标准曲线的测量范围见表A.2。</w:t>
      </w:r>
    </w:p>
    <w:p>
      <w:pPr>
        <w:pStyle w:val="13"/>
        <w:spacing w:after="23"/>
        <w:ind w:left="2349" w:right="2364"/>
        <w:jc w:val="center"/>
        <w:rPr>
          <w:rFonts w:ascii="黑体" w:eastAsia="黑体"/>
        </w:rPr>
      </w:pPr>
      <w:r>
        <w:rPr>
          <w:rFonts w:hint="eastAsia" w:ascii="黑体" w:eastAsia="黑体"/>
          <w:sz w:val="21"/>
          <w:szCs w:val="21"/>
        </w:rPr>
        <w:t>表A.2标准曲线的测量范围</w:t>
      </w:r>
    </w:p>
    <w:tbl>
      <w:tblPr>
        <w:tblStyle w:val="2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3300"/>
        <w:gridCol w:w="3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6" w:type="pct"/>
          </w:tcPr>
          <w:p>
            <w:pPr>
              <w:pStyle w:val="167"/>
              <w:spacing w:before="40"/>
              <w:ind w:left="1101" w:right="107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组分</w:t>
            </w:r>
          </w:p>
        </w:tc>
        <w:tc>
          <w:tcPr>
            <w:tcW w:w="1710" w:type="pct"/>
          </w:tcPr>
          <w:p>
            <w:pPr>
              <w:pStyle w:val="167"/>
              <w:spacing w:before="40"/>
              <w:ind w:left="926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标样浓度范围</w:t>
            </w:r>
          </w:p>
        </w:tc>
        <w:tc>
          <w:tcPr>
            <w:tcW w:w="1773" w:type="pct"/>
          </w:tcPr>
          <w:p>
            <w:pPr>
              <w:pStyle w:val="167"/>
              <w:spacing w:before="40"/>
              <w:ind w:left="680" w:right="653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样品</w:t>
            </w:r>
            <w:r>
              <w:rPr>
                <w:rFonts w:hint="eastAsia" w:ascii="宋体" w:eastAsia="宋体"/>
                <w:sz w:val="18"/>
              </w:rPr>
              <w:t>浓溶液测量范围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6" w:type="pct"/>
          </w:tcPr>
          <w:p>
            <w:pPr>
              <w:pStyle w:val="167"/>
              <w:spacing w:before="41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内消旋</w:t>
            </w:r>
            <w:r>
              <w:rPr>
                <w:sz w:val="18"/>
              </w:rPr>
              <w:t>-</w:t>
            </w:r>
            <w:r>
              <w:rPr>
                <w:rFonts w:hint="eastAsia" w:ascii="宋体" w:eastAsia="宋体"/>
                <w:sz w:val="18"/>
              </w:rPr>
              <w:t>酒石酸</w:t>
            </w:r>
          </w:p>
        </w:tc>
        <w:tc>
          <w:tcPr>
            <w:tcW w:w="1710" w:type="pct"/>
          </w:tcPr>
          <w:p>
            <w:pPr>
              <w:pStyle w:val="167"/>
              <w:spacing w:before="51"/>
              <w:ind w:left="985"/>
              <w:rPr>
                <w:sz w:val="18"/>
              </w:rPr>
            </w:pPr>
            <w:r>
              <w:rPr>
                <w:sz w:val="18"/>
              </w:rPr>
              <w:t>45 mg~55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1773" w:type="pct"/>
          </w:tcPr>
          <w:p>
            <w:pPr>
              <w:pStyle w:val="167"/>
              <w:spacing w:before="51"/>
              <w:ind w:left="680" w:right="65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%~11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6" w:type="pct"/>
          </w:tcPr>
          <w:p>
            <w:pPr>
              <w:pStyle w:val="167"/>
              <w:spacing w:before="40"/>
              <w:ind w:left="107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>D-</w:t>
            </w:r>
            <w:r>
              <w:rPr>
                <w:rFonts w:hint="eastAsia" w:ascii="宋体" w:eastAsia="宋体"/>
                <w:sz w:val="18"/>
              </w:rPr>
              <w:t>及</w:t>
            </w:r>
            <w:r>
              <w:rPr>
                <w:sz w:val="18"/>
              </w:rPr>
              <w:t>L-</w:t>
            </w:r>
            <w:r>
              <w:rPr>
                <w:rFonts w:hint="eastAsia" w:ascii="宋体" w:eastAsia="宋体"/>
                <w:sz w:val="18"/>
              </w:rPr>
              <w:t>酒石酸</w:t>
            </w:r>
          </w:p>
        </w:tc>
        <w:tc>
          <w:tcPr>
            <w:tcW w:w="1710" w:type="pct"/>
          </w:tcPr>
          <w:p>
            <w:pPr>
              <w:pStyle w:val="167"/>
              <w:spacing w:before="50"/>
              <w:ind w:left="985"/>
              <w:rPr>
                <w:sz w:val="18"/>
              </w:rPr>
            </w:pPr>
            <w:r>
              <w:rPr>
                <w:sz w:val="18"/>
              </w:rPr>
              <w:t>20 mg~30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1773" w:type="pct"/>
          </w:tcPr>
          <w:p>
            <w:pPr>
              <w:pStyle w:val="167"/>
              <w:spacing w:before="50"/>
              <w:ind w:left="680" w:right="65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%~6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6" w:type="pct"/>
          </w:tcPr>
          <w:p>
            <w:pPr>
              <w:pStyle w:val="167"/>
              <w:spacing w:before="40"/>
              <w:ind w:left="10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草酸</w:t>
            </w:r>
          </w:p>
        </w:tc>
        <w:tc>
          <w:tcPr>
            <w:tcW w:w="1710" w:type="pct"/>
          </w:tcPr>
          <w:p>
            <w:pPr>
              <w:pStyle w:val="167"/>
              <w:spacing w:before="50"/>
              <w:ind w:left="895"/>
              <w:rPr>
                <w:sz w:val="18"/>
              </w:rPr>
            </w:pPr>
            <w:r>
              <w:rPr>
                <w:sz w:val="18"/>
              </w:rPr>
              <w:t>0.05 mg~2.5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1773" w:type="pct"/>
          </w:tcPr>
          <w:p>
            <w:pPr>
              <w:pStyle w:val="167"/>
              <w:spacing w:before="50"/>
              <w:ind w:left="680" w:right="650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%~0.5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ind w:firstLine="42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</w:rPr>
      </w:pP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ind w:firstLine="42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按照A.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.6，测试两份多组分标准溶液A（A.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.2.1），对相应峰面积进行积分。以组分</w:t>
      </w:r>
      <w:r>
        <w:rPr>
          <w:rFonts w:hint="default" w:ascii="Times New Roman" w:hAnsi="Times New Roman" w:eastAsia="宋体" w:cs="Times New Roman"/>
          <w:i/>
          <w:iCs/>
        </w:rPr>
        <w:t>q</w:t>
      </w:r>
      <w:r>
        <w:rPr>
          <w:rFonts w:hint="default" w:ascii="Times New Roman" w:hAnsi="Times New Roman" w:eastAsia="宋体" w:cs="Times New Roman"/>
        </w:rPr>
        <w:t>的浓度为横坐标，组分</w:t>
      </w:r>
      <w:r>
        <w:rPr>
          <w:rFonts w:hint="default" w:ascii="Times New Roman" w:hAnsi="Times New Roman" w:eastAsia="宋体" w:cs="Times New Roman"/>
          <w:i/>
          <w:iCs/>
        </w:rPr>
        <w:t>q</w:t>
      </w:r>
      <w:r>
        <w:rPr>
          <w:rFonts w:hint="default" w:ascii="Times New Roman" w:hAnsi="Times New Roman" w:eastAsia="宋体" w:cs="Times New Roman"/>
        </w:rPr>
        <w:t>的峰面积为纵坐标绘制标准曲线并计算回归方程式（A.7）。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A.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3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</w:t>
      </w:r>
      <w:r>
        <w:rPr>
          <w:rFonts w:hint="eastAsia" w:hAnsi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5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.1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.</w:t>
      </w:r>
      <w:r>
        <w:rPr>
          <w:rFonts w:hint="eastAsia" w:hAnsi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2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组分</w:t>
      </w:r>
      <w:r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q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(内消旋酒石酸、D-及L-酒石酸和草酸)校准函数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ind w:firstLine="42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组分q标准曲线的截距</w:t>
      </w:r>
      <w:r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a</w:t>
      </w:r>
      <w:r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en-US" w:bidi="en-US"/>
        </w:rPr>
        <w:t>q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和斜率</w:t>
      </w:r>
      <w:r>
        <w:rPr>
          <w:rFonts w:hint="eastAsia" w:ascii="Times New Roman" w:eastAsia="宋体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 w:bidi="en-US"/>
        </w:rPr>
        <w:t>b</w:t>
      </w:r>
      <w:r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en-US" w:bidi="en-US"/>
        </w:rPr>
        <w:t>q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  <w:t>，按照校准函数（A.7）计算：</w:t>
      </w: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320" w:lineRule="exact"/>
        <w:ind w:firstLine="420" w:firstLineChars="200"/>
        <w:jc w:val="left"/>
        <w:textAlignment w:val="baseline"/>
        <w:outlineLvl w:val="1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  <w:lang w:val="en-US" w:eastAsia="en-US" w:bidi="en-US"/>
        </w:rPr>
      </w:pPr>
    </w:p>
    <w:p>
      <w:pPr>
        <w:pStyle w:val="68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afterLines="0" w:line="240" w:lineRule="auto"/>
        <w:ind w:firstLine="3990" w:firstLineChars="1900"/>
        <w:jc w:val="left"/>
        <w:textAlignment w:val="baseline"/>
        <w:outlineLvl w:val="1"/>
        <w:rPr>
          <w:rFonts w:hint="default" w:ascii="Times New Roman" w:hAnsi="Times New Roman" w:eastAsia="宋体" w:cs="Times New Roman"/>
          <w:lang w:val="en-US" w:eastAsia="zh-CN"/>
        </w:rPr>
      </w:pPr>
      <m:oMath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y</m:t>
        </m:r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a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q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+</m:t>
        </m:r>
        <m:sSub>
          <m:sSubP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q</m:t>
            </m:r>
            <m:ctrlPr>
              <w:rPr>
                <w:rFonts w:hint="default" w:ascii="Cambria Math" w:hAnsi="Cambria Math"/>
                <w:i/>
                <w:sz w:val="21"/>
                <w:szCs w:val="21"/>
                <w:highlight w:val="none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x</m:t>
        </m:r>
      </m:oMath>
      <w:r>
        <w:rPr>
          <w:rFonts w:hint="default" w:ascii="Times New Roman" w:hAnsi="Times New Roman" w:eastAsia="宋体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</w:t>
      </w:r>
      <w:r>
        <w:rPr>
          <w:rFonts w:hint="eastAsia" w:ascii="Times New Roman" w:hAnsi="Times New Roman" w:eastAsia="宋体" w:cs="Times New Roman"/>
          <w:i w:val="0"/>
          <w:iCs/>
          <w:kern w:val="0"/>
          <w:sz w:val="21"/>
          <w:szCs w:val="21"/>
          <w:highlight w:val="none"/>
          <w:lang w:val="en-US" w:eastAsia="zh-CN"/>
        </w:rPr>
        <w:t>....................................................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ascii="Times New Roman" w:eastAsia="宋体" w:cs="Times New Roman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</w:pP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式中：</w:t>
      </w:r>
    </w:p>
    <w:p>
      <w:pPr>
        <w:shd w:val="clear"/>
        <w:spacing w:line="320" w:lineRule="exact"/>
        <w:ind w:firstLine="412" w:firstLineChars="200"/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a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q</w:t>
      </w:r>
      <w:r>
        <w:rPr>
          <w:szCs w:val="21"/>
          <w:highlight w:val="none"/>
        </w:rPr>
        <w:t>——</w:t>
      </w:r>
      <w:r>
        <w:t>组分</w:t>
      </w:r>
      <w:r>
        <w:rPr>
          <w:rFonts w:ascii="Times New Roman" w:hAnsi="Times New Roman" w:eastAsia="Times New Roman"/>
          <w:i/>
          <w:iCs/>
        </w:rPr>
        <w:t>q</w:t>
      </w:r>
      <w:r>
        <w:t>标准曲线的截距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b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q</w:t>
      </w:r>
      <w:r>
        <w:rPr>
          <w:szCs w:val="21"/>
          <w:highlight w:val="none"/>
        </w:rPr>
        <w:t>——</w:t>
      </w:r>
      <w:r>
        <w:t>组分</w:t>
      </w:r>
      <w:r>
        <w:rPr>
          <w:rFonts w:ascii="Times New Roman" w:hAnsi="Times New Roman" w:eastAsia="Times New Roman"/>
          <w:i/>
          <w:iCs/>
        </w:rPr>
        <w:t>q</w:t>
      </w:r>
      <w:r>
        <w:t>标准曲线的斜率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y</w:t>
      </w:r>
      <w:r>
        <w:rPr>
          <w:szCs w:val="21"/>
          <w:highlight w:val="none"/>
        </w:rPr>
        <w:t>——</w:t>
      </w:r>
      <w:r>
        <w:t>标准样中组分</w:t>
      </w:r>
      <w:r>
        <w:rPr>
          <w:rFonts w:ascii="Times New Roman" w:hAnsi="Times New Roman" w:eastAsia="Times New Roman"/>
          <w:i/>
          <w:iCs/>
        </w:rPr>
        <w:t>q</w:t>
      </w:r>
      <w:r>
        <w:t>的峰面积（</w:t>
      </w:r>
      <w:r>
        <w:rPr>
          <w:rFonts w:ascii="Times New Roman" w:hAnsi="Times New Roman" w:eastAsia="Times New Roman"/>
          <w:i/>
          <w:iCs/>
        </w:rPr>
        <w:t>A</w:t>
      </w:r>
      <w:r>
        <w:rPr>
          <w:rFonts w:ascii="Times New Roman" w:hAnsi="Times New Roman" w:eastAsia="Times New Roman"/>
          <w:i/>
          <w:iCs/>
          <w:vertAlign w:val="subscript"/>
        </w:rPr>
        <w:t>c</w:t>
      </w:r>
      <w:r>
        <w:t>）</w:t>
      </w:r>
      <w:r>
        <w:rPr>
          <w:rFonts w:hint="eastAsia"/>
          <w:szCs w:val="21"/>
          <w:highlight w:val="none"/>
        </w:rPr>
        <w:t>；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20" w:firstLineChars="200"/>
        <w:jc w:val="both"/>
        <w:textAlignment w:val="auto"/>
        <w:outlineLvl w:val="9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x</w:t>
      </w:r>
      <w:r>
        <w:rPr>
          <w:szCs w:val="21"/>
          <w:highlight w:val="none"/>
        </w:rPr>
        <w:t>——标准样中组分</w:t>
      </w:r>
      <w:r>
        <w:rPr>
          <w:i/>
          <w:iCs/>
          <w:szCs w:val="21"/>
          <w:highlight w:val="none"/>
        </w:rPr>
        <w:t>q</w:t>
      </w:r>
      <w:r>
        <w:rPr>
          <w:szCs w:val="21"/>
          <w:highlight w:val="none"/>
        </w:rPr>
        <w:t>的浓度，单位为毫克每克（mg/g），</w:t>
      </w:r>
      <w:r>
        <w:rPr>
          <w:rFonts w:hint="eastAsia"/>
          <w:szCs w:val="21"/>
          <w:highlight w:val="none"/>
          <w:lang w:val="en-US" w:eastAsia="zh-CN"/>
        </w:rPr>
        <w:t>按公</w:t>
      </w:r>
      <w:r>
        <w:rPr>
          <w:szCs w:val="21"/>
          <w:highlight w:val="none"/>
        </w:rPr>
        <w:t>式（A.3）</w:t>
      </w:r>
      <w:r>
        <w:rPr>
          <w:rFonts w:hint="eastAsia"/>
          <w:szCs w:val="21"/>
          <w:highlight w:val="none"/>
          <w:lang w:eastAsia="zh-CN"/>
        </w:rPr>
        <w:t>、</w:t>
      </w:r>
      <w:r>
        <w:rPr>
          <w:szCs w:val="21"/>
          <w:highlight w:val="none"/>
        </w:rPr>
        <w:t>（A.4）</w:t>
      </w:r>
      <w:r>
        <w:rPr>
          <w:rFonts w:hint="eastAsia"/>
          <w:szCs w:val="21"/>
          <w:highlight w:val="none"/>
          <w:lang w:eastAsia="zh-CN"/>
        </w:rPr>
        <w:t>、</w:t>
      </w:r>
      <w:r>
        <w:rPr>
          <w:szCs w:val="21"/>
          <w:highlight w:val="none"/>
        </w:rPr>
        <w:t>（A.6）计算。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宋体"/>
          <w:szCs w:val="21"/>
          <w:highlight w:val="none"/>
          <w:lang w:val="en-US" w:eastAsia="zh-CN"/>
        </w:rPr>
      </w:pP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outlineLvl w:val="9"/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A.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3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5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2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sz w:val="21"/>
        </w:rPr>
        <w:t>测试样品中各组分</w:t>
      </w:r>
      <w:r>
        <w:rPr>
          <w:rFonts w:hint="default" w:ascii="Times New Roman" w:hAnsi="Times New Roman" w:eastAsia="黑体" w:cs="Times New Roman"/>
          <w:i/>
          <w:iCs/>
          <w:sz w:val="21"/>
          <w:u w:val="none"/>
        </w:rPr>
        <w:t>q</w:t>
      </w:r>
      <w:r>
        <w:rPr>
          <w:rFonts w:hint="eastAsia" w:ascii="黑体" w:hAnsi="黑体" w:eastAsia="黑体" w:cs="黑体"/>
          <w:sz w:val="21"/>
        </w:rPr>
        <w:t>的浓度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测试样品中各组分浓度</w:t>
      </w:r>
      <w:r>
        <w:rPr>
          <w:rFonts w:ascii="Times New Roman" w:eastAsia="Times New Roman"/>
          <w:i/>
          <w:sz w:val="21"/>
          <w:szCs w:val="21"/>
        </w:rPr>
        <w:t>c</w:t>
      </w:r>
      <w:r>
        <w:rPr>
          <w:rFonts w:hint="eastAsia"/>
          <w:i w:val="0"/>
          <w:iCs/>
          <w:sz w:val="21"/>
          <w:szCs w:val="21"/>
          <w:lang w:val="en-US" w:eastAsia="zh-CN"/>
        </w:rPr>
        <w:t>(</w:t>
      </w:r>
      <w:r>
        <w:rPr>
          <w:rFonts w:ascii="Times New Roman" w:eastAsia="Times New Roman"/>
          <w:i/>
          <w:sz w:val="21"/>
          <w:szCs w:val="21"/>
        </w:rPr>
        <w:t>q</w:t>
      </w:r>
      <w:r>
        <w:rPr>
          <w:rFonts w:hint="eastAsia"/>
          <w:i w:val="0"/>
          <w:iCs/>
          <w:sz w:val="21"/>
          <w:szCs w:val="21"/>
          <w:lang w:val="en-US" w:eastAsia="zh-CN"/>
        </w:rPr>
        <w:t>)，</w:t>
      </w:r>
      <w:r>
        <w:rPr>
          <w:sz w:val="21"/>
          <w:szCs w:val="21"/>
        </w:rPr>
        <w:t>按</w:t>
      </w:r>
      <w:r>
        <w:rPr>
          <w:rFonts w:hint="eastAsia"/>
          <w:sz w:val="21"/>
          <w:szCs w:val="21"/>
          <w:lang w:val="en-US" w:eastAsia="zh-CN"/>
        </w:rPr>
        <w:t>公</w:t>
      </w:r>
      <w:r>
        <w:rPr>
          <w:sz w:val="21"/>
          <w:szCs w:val="21"/>
        </w:rPr>
        <w:t>式（</w:t>
      </w:r>
      <w:r>
        <w:rPr>
          <w:rFonts w:ascii="Times New Roman" w:eastAsia="Times New Roman"/>
          <w:sz w:val="21"/>
          <w:szCs w:val="21"/>
        </w:rPr>
        <w:t>A.8</w:t>
      </w:r>
      <w:r>
        <w:rPr>
          <w:sz w:val="21"/>
          <w:szCs w:val="21"/>
        </w:rPr>
        <w:t>）计算：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sz w:val="21"/>
          <w:szCs w:val="21"/>
        </w:rPr>
      </w:pP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3990" w:firstLineChars="19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</w:pPr>
      <m:oMath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c(q)</m:t>
        </m:r>
        <m:r>
          <m:rPr/>
          <w:rPr>
            <w:rFonts w:hint="eastAsia" w:ascii="Cambria Math" w:hAnsi="Cambria Math"/>
            <w:sz w:val="21"/>
            <w:szCs w:val="21"/>
            <w:highlight w:val="none"/>
          </w:rPr>
          <m:t>=</m:t>
        </m:r>
        <m:f>
          <m:fP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(</m:t>
            </m:r>
            <m:sSub>
              <m:sSubP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sq−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q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highlight w:val="none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)</m:t>
            </m:r>
            <m:r>
              <m:rPr/>
              <w:rPr>
                <w:rFonts w:ascii="Cambria Math" w:hAnsi="Cambria Math"/>
                <w:sz w:val="21"/>
                <w:szCs w:val="21"/>
                <w:highlight w:val="none"/>
                <w:lang w:val="en-US"/>
              </w:rPr>
              <m:t>×</m:t>
            </m:r>
            <m:r>
              <m:rPr/>
              <w:rPr>
                <w:rFonts w:hint="default" w:ascii="Cambria Math" w:hAnsi="Cambria Math"/>
                <w:sz w:val="21"/>
                <w:szCs w:val="21"/>
                <w:highlight w:val="none"/>
                <w:lang w:val="en-US" w:eastAsia="zh-CN"/>
              </w:rPr>
              <m:t>M</m:t>
            </m:r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M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s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highlight w:val="none"/>
                  </w:rPr>
                </m:ctrlPr>
              </m:sub>
            </m:sSub>
            <m:r>
              <m:rPr/>
              <w:rPr>
                <w:rFonts w:ascii="Cambria Math" w:hAnsi="Cambria Math"/>
                <w:sz w:val="21"/>
                <w:szCs w:val="21"/>
                <w:highlight w:val="none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highlight w:val="none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b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highlight w:val="none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highlight w:val="none"/>
                    <w:lang w:val="en-US" w:eastAsia="zh-CN"/>
                  </w:rPr>
                  <m:t>q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highlight w:val="none"/>
                  </w:rPr>
                </m:ctrlPr>
              </m:sub>
            </m:sSub>
            <m:ctrlPr>
              <w:rPr>
                <w:rFonts w:hint="eastAsia" w:ascii="Cambria Math" w:hAnsi="Cambria Math"/>
                <w:i/>
                <w:sz w:val="21"/>
                <w:szCs w:val="21"/>
                <w:highlight w:val="none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  <w:highlight w:val="none"/>
          </w:rPr>
          <m:t>×</m:t>
        </m:r>
        <m:r>
          <m:rPr/>
          <w:rPr>
            <w:rFonts w:hint="default" w:ascii="Cambria Math" w:hAnsi="Cambria Math"/>
            <w:sz w:val="21"/>
            <w:szCs w:val="21"/>
            <w:highlight w:val="none"/>
            <w:lang w:val="en-US" w:eastAsia="zh-CN"/>
          </w:rPr>
          <m:t>100%</m:t>
        </m:r>
      </m:oMath>
      <w:r>
        <w:rPr>
          <w:rFonts w:hint="default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.......................</w:t>
      </w:r>
      <w:r>
        <w:rPr>
          <w:rFonts w:hint="eastAsia" w:ascii="Times New Roman" w:hAnsi="Times New Roman" w:cs="Times New Roman"/>
          <w:i w:val="0"/>
          <w:sz w:val="21"/>
          <w:szCs w:val="21"/>
          <w:highlight w:val="none"/>
          <w:lang w:val="en-US" w:eastAsia="zh-CN"/>
        </w:rPr>
        <w:t>.....................</w:t>
      </w:r>
      <w:r>
        <w:rPr>
          <w:rFonts w:hint="eastAsia" w:cs="Times New Roman"/>
          <w:i w:val="0"/>
          <w:sz w:val="21"/>
          <w:szCs w:val="21"/>
          <w:highlight w:val="none"/>
          <w:lang w:val="en-US" w:eastAsia="zh-CN"/>
        </w:rPr>
        <w:t>..........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（A.</w:t>
      </w:r>
      <w:r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）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</w:pP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式中：</w:t>
      </w:r>
    </w:p>
    <w:p>
      <w:pPr>
        <w:shd w:val="clear"/>
        <w:spacing w:line="320" w:lineRule="exact"/>
        <w:ind w:firstLine="412" w:firstLineChars="200"/>
        <w:rPr>
          <w:rFonts w:hint="default" w:ascii="Times New Roman" w:hAnsi="Times New Roman" w:eastAsia="宋体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zh-TW" w:eastAsia="zh-TW" w:bidi="zh-TW"/>
        </w:rPr>
      </w:pP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a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q</w:t>
      </w:r>
      <w:r>
        <w:rPr>
          <w:szCs w:val="21"/>
          <w:highlight w:val="none"/>
        </w:rPr>
        <w:t>——</w:t>
      </w:r>
      <w:r>
        <w:t>组分</w:t>
      </w:r>
      <w:r>
        <w:rPr>
          <w:rFonts w:ascii="Times New Roman" w:hAnsi="Times New Roman" w:eastAsia="Times New Roman"/>
          <w:i/>
          <w:iCs/>
        </w:rPr>
        <w:t>q</w:t>
      </w:r>
      <w:r>
        <w:t>标准曲线的截距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12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lang w:val="en-US" w:eastAsia="zh-CN" w:bidi="zh-TW"/>
        </w:rPr>
        <w:t>b</w:t>
      </w:r>
      <w:r>
        <w:rPr>
          <w:rFonts w:hint="eastAsia" w:cs="Times New Roman"/>
          <w:i/>
          <w:iCs/>
          <w:spacing w:val="-2"/>
          <w:kern w:val="2"/>
          <w:sz w:val="21"/>
          <w:szCs w:val="21"/>
          <w:u w:val="none"/>
          <w:shd w:val="clear" w:color="auto" w:fill="auto"/>
          <w:vertAlign w:val="subscript"/>
          <w:lang w:val="en-US" w:eastAsia="zh-CN" w:bidi="zh-TW"/>
        </w:rPr>
        <w:t>q</w:t>
      </w:r>
      <w:r>
        <w:rPr>
          <w:szCs w:val="21"/>
          <w:highlight w:val="none"/>
        </w:rPr>
        <w:t>——</w:t>
      </w:r>
      <w:r>
        <w:t>组分</w:t>
      </w:r>
      <w:r>
        <w:rPr>
          <w:rFonts w:ascii="Times New Roman" w:hAnsi="Times New Roman" w:eastAsia="Times New Roman"/>
          <w:i/>
          <w:iCs/>
        </w:rPr>
        <w:t>q</w:t>
      </w:r>
      <w:r>
        <w:t>标准曲线的斜率</w:t>
      </w:r>
      <w:r>
        <w:rPr>
          <w:rFonts w:hint="eastAsia"/>
          <w:szCs w:val="21"/>
          <w:highlight w:val="none"/>
        </w:rPr>
        <w:t>；</w:t>
      </w:r>
    </w:p>
    <w:p>
      <w:pPr>
        <w:shd w:val="clear"/>
        <w:spacing w:line="320" w:lineRule="exact"/>
        <w:ind w:firstLine="420" w:firstLineChars="200"/>
        <w:rPr>
          <w:szCs w:val="21"/>
          <w:highlight w:val="none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A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sq</w:t>
      </w:r>
      <w:r>
        <w:rPr>
          <w:szCs w:val="21"/>
          <w:highlight w:val="none"/>
        </w:rPr>
        <w:t>——</w:t>
      </w:r>
      <w:r>
        <w:t>测试样品溶液中组分</w:t>
      </w:r>
      <w:r>
        <w:rPr>
          <w:rFonts w:ascii="Times New Roman" w:hAnsi="Times New Roman" w:eastAsia="Times New Roman"/>
          <w:i/>
          <w:iCs/>
        </w:rPr>
        <w:t>q</w:t>
      </w:r>
      <w:r>
        <w:t>的峰面积</w:t>
      </w:r>
      <w:r>
        <w:rPr>
          <w:rFonts w:hint="eastAsia"/>
          <w:szCs w:val="21"/>
          <w:highlight w:val="none"/>
        </w:rPr>
        <w:t>；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vertAlign w:val="subscript"/>
          <w:lang w:val="en-US" w:eastAsia="zh-CN"/>
        </w:rPr>
        <w:t>s</w:t>
      </w:r>
      <w:r>
        <w:rPr>
          <w:szCs w:val="21"/>
          <w:highlight w:val="none"/>
        </w:rPr>
        <w:t>——</w:t>
      </w:r>
      <w:r>
        <w:rPr>
          <w:sz w:val="21"/>
          <w:szCs w:val="21"/>
        </w:rPr>
        <w:t>测试部分的质量，单位为毫克（</w:t>
      </w:r>
      <w:r>
        <w:rPr>
          <w:rFonts w:ascii="Times New Roman" w:hAnsi="Times New Roman" w:eastAsia="Times New Roman"/>
          <w:sz w:val="21"/>
          <w:szCs w:val="21"/>
        </w:rPr>
        <w:t>mg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cs="Times New Roman"/>
          <w:i/>
          <w:iCs/>
          <w:color w:val="000000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M</w:t>
      </w:r>
      <w:r>
        <w:rPr>
          <w:sz w:val="21"/>
          <w:szCs w:val="21"/>
          <w:highlight w:val="none"/>
        </w:rPr>
        <w:t>——</w:t>
      </w:r>
      <w:r>
        <w:rPr>
          <w:rFonts w:ascii="Times New Roman" w:hAnsi="Times New Roman" w:eastAsia="Times New Roman"/>
          <w:sz w:val="21"/>
          <w:szCs w:val="21"/>
        </w:rPr>
        <w:t>50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1"/>
          <w:szCs w:val="21"/>
        </w:rPr>
        <w:t>mL</w:t>
      </w:r>
      <w:r>
        <w:rPr>
          <w:sz w:val="21"/>
          <w:szCs w:val="21"/>
        </w:rPr>
        <w:t>烧瓶（</w:t>
      </w:r>
      <w:r>
        <w:rPr>
          <w:rFonts w:ascii="Times New Roman" w:hAnsi="Times New Roman" w:eastAsia="Times New Roman"/>
          <w:sz w:val="21"/>
          <w:szCs w:val="21"/>
        </w:rPr>
        <w:t>A.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/>
          <w:sz w:val="21"/>
          <w:szCs w:val="21"/>
        </w:rPr>
        <w:t>.5</w:t>
      </w:r>
      <w:r>
        <w:rPr>
          <w:sz w:val="21"/>
          <w:szCs w:val="21"/>
        </w:rPr>
        <w:t>）中组分的质量，单位为克（</w:t>
      </w:r>
      <w:r>
        <w:rPr>
          <w:rFonts w:ascii="Times New Roman" w:hAnsi="Times New Roman" w:eastAsia="Times New Roman"/>
          <w:sz w:val="21"/>
          <w:szCs w:val="21"/>
        </w:rPr>
        <w:t>g</w:t>
      </w:r>
      <w:r>
        <w:rPr>
          <w:sz w:val="21"/>
          <w:szCs w:val="21"/>
        </w:rPr>
        <w:t>）。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outlineLvl w:val="9"/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</w:pP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en-US" w:bidi="ar-SA"/>
        </w:rPr>
        <w:t>A.</w:t>
      </w:r>
      <w:r>
        <w:rPr>
          <w:rFonts w:hint="eastAsia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>3.6</w:t>
      </w:r>
      <w:r>
        <w:rPr>
          <w:rFonts w:hint="default" w:ascii="黑体" w:hAnsi="黑体" w:eastAsia="黑体" w:cs="Times New Roman"/>
          <w:kern w:val="21"/>
          <w:sz w:val="21"/>
          <w:szCs w:val="21"/>
          <w:highlight w:val="none"/>
          <w:u w:val="none"/>
          <w:shd w:val="clear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sz w:val="21"/>
          <w:lang w:val="en-US" w:eastAsia="zh-CN"/>
        </w:rPr>
        <w:t>精密度</w:t>
      </w:r>
    </w:p>
    <w:p>
      <w:pPr>
        <w:pStyle w:val="16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firstLine="40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试验结果以平行测定结果的算术平均值为准。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在重复性条件下获得的两次独立测定结果的绝对差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不大于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  <w:t>0.2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/>
          <w:shd w:val="clear" w:color="auto" w:fill="auto"/>
          <w:lang w:val="zh-TW" w:eastAsia="zh-TW" w:bidi="zh-TW"/>
        </w:rPr>
        <w:t>%。</w:t>
      </w:r>
    </w:p>
    <w:p>
      <w:pPr>
        <w:shd w:val="clear"/>
        <w:spacing w:line="320" w:lineRule="exact"/>
        <w:rPr>
          <w:highlight w:val="none"/>
        </w:rPr>
      </w:pPr>
    </w:p>
    <w:p>
      <w:pPr>
        <w:shd w:val="clear"/>
        <w:spacing w:line="320" w:lineRule="exact"/>
        <w:ind w:firstLine="420" w:firstLineChars="200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1889760" cy="635"/>
                <wp:effectExtent l="7620" t="12065" r="7620" b="6350"/>
                <wp:wrapSquare wrapText="bothSides"/>
                <wp:docPr id="5" name="L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897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7.6pt;height:0.05pt;width:148.8pt;mso-position-horizontal:center;mso-position-horizontal-relative:margin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KU1KbUAAAABgEAAA8AAAAAAAAAAQAgAAAA&#10;IgAAAGRycy9kb3ducmV2LnhtbFBLAQIUABQAAAAIAIdO4kDcYVtP1gEAALQDAAAOAAAAAAAAAAEA&#10;IAAAACMBAABkcnMvZTJvRG9jLnhtbFBLBQYAAAAABgAGAFkBAABrBQAAAAA=&#10;">
                <v:fill on="f" focussize="0,0"/>
                <v:stroke color="#000000" joinstyle="round"/>
                <v:imagedata o:title=""/>
                <o:lock v:ext="edit" aspectratio="t"/>
                <w10:wrap type="square"/>
              </v:line>
            </w:pict>
          </mc:Fallback>
        </mc:AlternateContent>
      </w:r>
    </w:p>
    <w:sectPr>
      <w:headerReference r:id="rId7" w:type="default"/>
      <w:pgSz w:w="11907" w:h="16839"/>
      <w:pgMar w:top="1418" w:right="851" w:bottom="851" w:left="1418" w:header="1418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im Sun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1979031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b/>
      </w:rPr>
      <w:t xml:space="preserve">GB </w:t>
    </w:r>
    <w:r>
      <w:t>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jc w:val="right"/>
      <w:rPr>
        <w:rFonts w:ascii="宋体" w:hAnsi="宋体"/>
      </w:rPr>
    </w:pPr>
    <w:r>
      <w:t>GB ××××</w:t>
    </w:r>
    <w:r>
      <w:rPr>
        <w:rFonts w:ascii="宋体" w:hAnsi="宋体"/>
      </w:rPr>
      <w:t>—</w:t>
    </w:r>
    <w:r>
      <w:rPr>
        <w:rFonts w:hint="eastAsia" w:ascii="宋体" w:hAnsi="宋体"/>
      </w:rPr>
      <w:t>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b/>
      </w:rPr>
      <w:t xml:space="preserve">GB </w:t>
    </w:r>
    <w:r>
      <w:t>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A06CF"/>
    <w:multiLevelType w:val="multilevel"/>
    <w:tmpl w:val="15DA06CF"/>
    <w:lvl w:ilvl="0" w:tentative="0">
      <w:start w:val="1"/>
      <w:numFmt w:val="none"/>
      <w:pStyle w:val="108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CDB43DA"/>
    <w:multiLevelType w:val="multilevel"/>
    <w:tmpl w:val="1CDB43DA"/>
    <w:lvl w:ilvl="0" w:tentative="0">
      <w:start w:val="1"/>
      <w:numFmt w:val="none"/>
      <w:pStyle w:val="7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E654E2"/>
    <w:multiLevelType w:val="multilevel"/>
    <w:tmpl w:val="20E654E2"/>
    <w:lvl w:ilvl="0" w:tentative="0">
      <w:start w:val="1"/>
      <w:numFmt w:val="none"/>
      <w:pStyle w:val="95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4C96ECF"/>
    <w:multiLevelType w:val="multilevel"/>
    <w:tmpl w:val="24C96ECF"/>
    <w:lvl w:ilvl="0" w:tentative="0">
      <w:start w:val="1"/>
      <w:numFmt w:val="decimal"/>
      <w:pStyle w:val="107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6DA3B4B"/>
    <w:multiLevelType w:val="multilevel"/>
    <w:tmpl w:val="26DA3B4B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kern w:val="21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38846D95"/>
    <w:multiLevelType w:val="multilevel"/>
    <w:tmpl w:val="38846D95"/>
    <w:lvl w:ilvl="0" w:tentative="0">
      <w:start w:val="1"/>
      <w:numFmt w:val="none"/>
      <w:pStyle w:val="10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7CC1978"/>
    <w:multiLevelType w:val="multilevel"/>
    <w:tmpl w:val="47CC1978"/>
    <w:lvl w:ilvl="0" w:tentative="0">
      <w:start w:val="1"/>
      <w:numFmt w:val="none"/>
      <w:pStyle w:val="78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63697228"/>
    <w:multiLevelType w:val="multilevel"/>
    <w:tmpl w:val="63697228"/>
    <w:lvl w:ilvl="0" w:tentative="0">
      <w:start w:val="1"/>
      <w:numFmt w:val="decimal"/>
      <w:pStyle w:val="106"/>
      <w:suff w:val="nothing"/>
      <w:lvlText w:val="表%1　"/>
      <w:lvlJc w:val="left"/>
      <w:pPr>
        <w:ind w:left="4253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F3A435E"/>
    <w:multiLevelType w:val="multilevel"/>
    <w:tmpl w:val="6F3A435E"/>
    <w:lvl w:ilvl="0" w:tentative="0">
      <w:start w:val="1"/>
      <w:numFmt w:val="none"/>
      <w:pStyle w:val="47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宋体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kern w:val="2"/>
        <w:position w:val="0"/>
        <w:sz w:val="21"/>
        <w:u w:val="none"/>
        <w:shd w:val="clear" w:color="auto" w:fill="auto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771E02A7"/>
    <w:multiLevelType w:val="multilevel"/>
    <w:tmpl w:val="771E02A7"/>
    <w:lvl w:ilvl="0" w:tentative="0">
      <w:start w:val="1"/>
      <w:numFmt w:val="upperLetter"/>
      <w:pStyle w:val="66"/>
      <w:suff w:val="nothing"/>
      <w:lvlText w:val="附　录　%1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pStyle w:val="68"/>
      <w:suff w:val="nothing"/>
      <w:lvlText w:val="%1.%2　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69"/>
      <w:suff w:val="nothing"/>
      <w:lvlText w:val="%1.%2.%3　"/>
      <w:lvlJc w:val="left"/>
      <w:pPr>
        <w:ind w:left="142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2"/>
        <w:position w:val="0"/>
        <w:sz w:val="21"/>
        <w:szCs w:val="0"/>
        <w:u w:val="none"/>
        <w:shd w:val="clear" w:color="auto" w:fill="auto"/>
        <w:vertAlign w:val="baseline"/>
        <w:lang w:val="en-US" w:eastAsia="zh-CN" w:bidi="ar-SA"/>
      </w:rPr>
    </w:lvl>
    <w:lvl w:ilvl="3" w:tentative="0">
      <w:start w:val="1"/>
      <w:numFmt w:val="decimal"/>
      <w:pStyle w:val="70"/>
      <w:suff w:val="nothing"/>
      <w:lvlText w:val="%1.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1"/>
      <w:suff w:val="nothing"/>
      <w:lvlText w:val="%1.%2.%3.%4.%5　"/>
      <w:lvlJc w:val="left"/>
      <w:pPr>
        <w:ind w:left="184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A0"/>
    <w:rsid w:val="00015148"/>
    <w:rsid w:val="00016E13"/>
    <w:rsid w:val="0005766E"/>
    <w:rsid w:val="000A75C2"/>
    <w:rsid w:val="000B2927"/>
    <w:rsid w:val="0010410F"/>
    <w:rsid w:val="00120B1F"/>
    <w:rsid w:val="00123534"/>
    <w:rsid w:val="00123C3B"/>
    <w:rsid w:val="00133F48"/>
    <w:rsid w:val="00155641"/>
    <w:rsid w:val="00177DE3"/>
    <w:rsid w:val="00187F8D"/>
    <w:rsid w:val="001C399E"/>
    <w:rsid w:val="001C794D"/>
    <w:rsid w:val="001D3DA0"/>
    <w:rsid w:val="001E089B"/>
    <w:rsid w:val="001F32A2"/>
    <w:rsid w:val="001F7799"/>
    <w:rsid w:val="00206DE4"/>
    <w:rsid w:val="00241168"/>
    <w:rsid w:val="002436FE"/>
    <w:rsid w:val="002A3F48"/>
    <w:rsid w:val="002C3988"/>
    <w:rsid w:val="002F75B6"/>
    <w:rsid w:val="0033116D"/>
    <w:rsid w:val="00373105"/>
    <w:rsid w:val="003857EF"/>
    <w:rsid w:val="003A6A57"/>
    <w:rsid w:val="004066D4"/>
    <w:rsid w:val="00406EAE"/>
    <w:rsid w:val="00413D5E"/>
    <w:rsid w:val="00434E2B"/>
    <w:rsid w:val="00481D56"/>
    <w:rsid w:val="00497C4E"/>
    <w:rsid w:val="004A4E51"/>
    <w:rsid w:val="004E4DD0"/>
    <w:rsid w:val="004F015D"/>
    <w:rsid w:val="00505F47"/>
    <w:rsid w:val="00524B18"/>
    <w:rsid w:val="00542AB4"/>
    <w:rsid w:val="00567D3A"/>
    <w:rsid w:val="00572691"/>
    <w:rsid w:val="00581A8A"/>
    <w:rsid w:val="005960FD"/>
    <w:rsid w:val="006312E6"/>
    <w:rsid w:val="00675C1B"/>
    <w:rsid w:val="006862E0"/>
    <w:rsid w:val="006B71A7"/>
    <w:rsid w:val="007005CC"/>
    <w:rsid w:val="00701A47"/>
    <w:rsid w:val="00781116"/>
    <w:rsid w:val="00783F99"/>
    <w:rsid w:val="0079258E"/>
    <w:rsid w:val="007D019D"/>
    <w:rsid w:val="007D25EE"/>
    <w:rsid w:val="008036E3"/>
    <w:rsid w:val="0083456B"/>
    <w:rsid w:val="00841A0E"/>
    <w:rsid w:val="00877E63"/>
    <w:rsid w:val="008B5699"/>
    <w:rsid w:val="008C666D"/>
    <w:rsid w:val="009052B7"/>
    <w:rsid w:val="0094025B"/>
    <w:rsid w:val="009755BB"/>
    <w:rsid w:val="00977680"/>
    <w:rsid w:val="009D264E"/>
    <w:rsid w:val="00A17DC5"/>
    <w:rsid w:val="00A22D93"/>
    <w:rsid w:val="00A71E3B"/>
    <w:rsid w:val="00A94703"/>
    <w:rsid w:val="00AB7C8E"/>
    <w:rsid w:val="00AC2063"/>
    <w:rsid w:val="00AD4ED2"/>
    <w:rsid w:val="00AE295A"/>
    <w:rsid w:val="00AF3AB8"/>
    <w:rsid w:val="00B04ACD"/>
    <w:rsid w:val="00B11954"/>
    <w:rsid w:val="00B17814"/>
    <w:rsid w:val="00B2080A"/>
    <w:rsid w:val="00B6075C"/>
    <w:rsid w:val="00BA2B3A"/>
    <w:rsid w:val="00BB546A"/>
    <w:rsid w:val="00C27E2E"/>
    <w:rsid w:val="00C30BD9"/>
    <w:rsid w:val="00C32BF2"/>
    <w:rsid w:val="00C40544"/>
    <w:rsid w:val="00C430D9"/>
    <w:rsid w:val="00C52650"/>
    <w:rsid w:val="00C64446"/>
    <w:rsid w:val="00C91C76"/>
    <w:rsid w:val="00C9354D"/>
    <w:rsid w:val="00CD6AE5"/>
    <w:rsid w:val="00D20BA6"/>
    <w:rsid w:val="00D33D40"/>
    <w:rsid w:val="00D366CE"/>
    <w:rsid w:val="00D56E6D"/>
    <w:rsid w:val="00D93DCA"/>
    <w:rsid w:val="00E222F0"/>
    <w:rsid w:val="00E37CE6"/>
    <w:rsid w:val="00E46991"/>
    <w:rsid w:val="00E64915"/>
    <w:rsid w:val="00E65487"/>
    <w:rsid w:val="00E715DB"/>
    <w:rsid w:val="00EA0C33"/>
    <w:rsid w:val="00EA759B"/>
    <w:rsid w:val="00EC32C1"/>
    <w:rsid w:val="00EC7A67"/>
    <w:rsid w:val="00F16A56"/>
    <w:rsid w:val="00F16E2A"/>
    <w:rsid w:val="00F540C3"/>
    <w:rsid w:val="00F57F34"/>
    <w:rsid w:val="00F61468"/>
    <w:rsid w:val="00FD08BC"/>
    <w:rsid w:val="00FD4D79"/>
    <w:rsid w:val="00FF795C"/>
    <w:rsid w:val="018074B4"/>
    <w:rsid w:val="018B533F"/>
    <w:rsid w:val="01A012EA"/>
    <w:rsid w:val="01B20E93"/>
    <w:rsid w:val="01CF6262"/>
    <w:rsid w:val="01E26F29"/>
    <w:rsid w:val="02365459"/>
    <w:rsid w:val="02433578"/>
    <w:rsid w:val="02CD420A"/>
    <w:rsid w:val="02D16C83"/>
    <w:rsid w:val="02EA1088"/>
    <w:rsid w:val="031E20CC"/>
    <w:rsid w:val="0340228E"/>
    <w:rsid w:val="04027FF8"/>
    <w:rsid w:val="042C24DC"/>
    <w:rsid w:val="0443036D"/>
    <w:rsid w:val="04AF2C1E"/>
    <w:rsid w:val="04C55D86"/>
    <w:rsid w:val="052B1024"/>
    <w:rsid w:val="05307041"/>
    <w:rsid w:val="058C6629"/>
    <w:rsid w:val="05A06821"/>
    <w:rsid w:val="060D702A"/>
    <w:rsid w:val="069429C1"/>
    <w:rsid w:val="06B93E57"/>
    <w:rsid w:val="06D323F8"/>
    <w:rsid w:val="06F27716"/>
    <w:rsid w:val="074F6A14"/>
    <w:rsid w:val="07547798"/>
    <w:rsid w:val="07CA0AD6"/>
    <w:rsid w:val="08943ECA"/>
    <w:rsid w:val="08EE636B"/>
    <w:rsid w:val="0940210D"/>
    <w:rsid w:val="09792C9F"/>
    <w:rsid w:val="097B27FE"/>
    <w:rsid w:val="098E4F23"/>
    <w:rsid w:val="09C906AD"/>
    <w:rsid w:val="09E36A12"/>
    <w:rsid w:val="09F73B68"/>
    <w:rsid w:val="0A372D58"/>
    <w:rsid w:val="0AC45AD9"/>
    <w:rsid w:val="0B130B9B"/>
    <w:rsid w:val="0B471C2F"/>
    <w:rsid w:val="0B4855B3"/>
    <w:rsid w:val="0BD62D2D"/>
    <w:rsid w:val="0BFD5983"/>
    <w:rsid w:val="0C1E1CA0"/>
    <w:rsid w:val="0C3A62EB"/>
    <w:rsid w:val="0C452F09"/>
    <w:rsid w:val="0C7E43E3"/>
    <w:rsid w:val="0C965DEB"/>
    <w:rsid w:val="0CDA4F28"/>
    <w:rsid w:val="0D39049E"/>
    <w:rsid w:val="0DD701F1"/>
    <w:rsid w:val="0DE6637A"/>
    <w:rsid w:val="0DE8576B"/>
    <w:rsid w:val="0DF4003D"/>
    <w:rsid w:val="0DF850F5"/>
    <w:rsid w:val="0E4528B6"/>
    <w:rsid w:val="0E697B60"/>
    <w:rsid w:val="0EAA13B3"/>
    <w:rsid w:val="0EC71E43"/>
    <w:rsid w:val="0F4C2978"/>
    <w:rsid w:val="0F4C4188"/>
    <w:rsid w:val="0F5474E9"/>
    <w:rsid w:val="0F6C797A"/>
    <w:rsid w:val="100B74B9"/>
    <w:rsid w:val="101C5D4D"/>
    <w:rsid w:val="10684F5A"/>
    <w:rsid w:val="106F5E25"/>
    <w:rsid w:val="10A7072D"/>
    <w:rsid w:val="10C637EA"/>
    <w:rsid w:val="10D52E60"/>
    <w:rsid w:val="11036FE3"/>
    <w:rsid w:val="11091E77"/>
    <w:rsid w:val="11543339"/>
    <w:rsid w:val="11A3767A"/>
    <w:rsid w:val="12155788"/>
    <w:rsid w:val="12B03297"/>
    <w:rsid w:val="12B75E6F"/>
    <w:rsid w:val="13106BB0"/>
    <w:rsid w:val="1315525D"/>
    <w:rsid w:val="136362FA"/>
    <w:rsid w:val="13893420"/>
    <w:rsid w:val="13B83739"/>
    <w:rsid w:val="13DC14BD"/>
    <w:rsid w:val="13F4338D"/>
    <w:rsid w:val="14623682"/>
    <w:rsid w:val="14895509"/>
    <w:rsid w:val="14BA66DE"/>
    <w:rsid w:val="14CC2B6A"/>
    <w:rsid w:val="15010CB2"/>
    <w:rsid w:val="15720E45"/>
    <w:rsid w:val="15987B04"/>
    <w:rsid w:val="15A02C4D"/>
    <w:rsid w:val="160F2671"/>
    <w:rsid w:val="16C604F1"/>
    <w:rsid w:val="16EC26FA"/>
    <w:rsid w:val="17070343"/>
    <w:rsid w:val="17874021"/>
    <w:rsid w:val="17A17E73"/>
    <w:rsid w:val="17C3364E"/>
    <w:rsid w:val="182F3EF0"/>
    <w:rsid w:val="19636B63"/>
    <w:rsid w:val="19807402"/>
    <w:rsid w:val="19C817FE"/>
    <w:rsid w:val="19D61256"/>
    <w:rsid w:val="19D84769"/>
    <w:rsid w:val="1A0779F8"/>
    <w:rsid w:val="1A520350"/>
    <w:rsid w:val="1A9D25B0"/>
    <w:rsid w:val="1AF1373E"/>
    <w:rsid w:val="1B1867B5"/>
    <w:rsid w:val="1B5E08BC"/>
    <w:rsid w:val="1BD45375"/>
    <w:rsid w:val="1C161DAA"/>
    <w:rsid w:val="1C6553B2"/>
    <w:rsid w:val="1C95375C"/>
    <w:rsid w:val="1CC80B25"/>
    <w:rsid w:val="1D0F1086"/>
    <w:rsid w:val="1D9B60B1"/>
    <w:rsid w:val="1DA814CC"/>
    <w:rsid w:val="1DE64024"/>
    <w:rsid w:val="1E4671A6"/>
    <w:rsid w:val="1E5E5E64"/>
    <w:rsid w:val="1E741139"/>
    <w:rsid w:val="1E8052C4"/>
    <w:rsid w:val="1EA67278"/>
    <w:rsid w:val="1EBA446C"/>
    <w:rsid w:val="1EEF145A"/>
    <w:rsid w:val="1EF979E3"/>
    <w:rsid w:val="1F0F0F1A"/>
    <w:rsid w:val="1F962B0C"/>
    <w:rsid w:val="2032253C"/>
    <w:rsid w:val="208B012B"/>
    <w:rsid w:val="20B43031"/>
    <w:rsid w:val="20C46ECB"/>
    <w:rsid w:val="20FC0987"/>
    <w:rsid w:val="21D8427D"/>
    <w:rsid w:val="21F32A13"/>
    <w:rsid w:val="225259FF"/>
    <w:rsid w:val="22925E9E"/>
    <w:rsid w:val="229F18AF"/>
    <w:rsid w:val="234C6491"/>
    <w:rsid w:val="2380379B"/>
    <w:rsid w:val="238442B3"/>
    <w:rsid w:val="24D11B8E"/>
    <w:rsid w:val="24FB51A2"/>
    <w:rsid w:val="25100C7D"/>
    <w:rsid w:val="25E436DB"/>
    <w:rsid w:val="260C4FCE"/>
    <w:rsid w:val="260F5D76"/>
    <w:rsid w:val="26177714"/>
    <w:rsid w:val="26565204"/>
    <w:rsid w:val="26B46AA9"/>
    <w:rsid w:val="27D1020E"/>
    <w:rsid w:val="287F201A"/>
    <w:rsid w:val="28814A4B"/>
    <w:rsid w:val="28B32B02"/>
    <w:rsid w:val="29741FA9"/>
    <w:rsid w:val="299B1A5C"/>
    <w:rsid w:val="29B62FA9"/>
    <w:rsid w:val="2A1E34FF"/>
    <w:rsid w:val="2A462F61"/>
    <w:rsid w:val="2A856E5A"/>
    <w:rsid w:val="2B664B4D"/>
    <w:rsid w:val="2B807E07"/>
    <w:rsid w:val="2BB22D76"/>
    <w:rsid w:val="2BD43DFB"/>
    <w:rsid w:val="2BF63F9E"/>
    <w:rsid w:val="2C162C82"/>
    <w:rsid w:val="2C3519C1"/>
    <w:rsid w:val="2CAB46BC"/>
    <w:rsid w:val="2CB90479"/>
    <w:rsid w:val="2CE22F34"/>
    <w:rsid w:val="2D213FC2"/>
    <w:rsid w:val="2D341FCF"/>
    <w:rsid w:val="2D48530D"/>
    <w:rsid w:val="2DF2472F"/>
    <w:rsid w:val="2E1064C5"/>
    <w:rsid w:val="2E9D585F"/>
    <w:rsid w:val="2F166979"/>
    <w:rsid w:val="2F6172C7"/>
    <w:rsid w:val="2F8B3D90"/>
    <w:rsid w:val="2FA80B91"/>
    <w:rsid w:val="302D43B8"/>
    <w:rsid w:val="305C1750"/>
    <w:rsid w:val="30896CAB"/>
    <w:rsid w:val="31261F41"/>
    <w:rsid w:val="316D626F"/>
    <w:rsid w:val="319A5D94"/>
    <w:rsid w:val="31C0363A"/>
    <w:rsid w:val="31CD3FB9"/>
    <w:rsid w:val="32401FBF"/>
    <w:rsid w:val="329E5E4D"/>
    <w:rsid w:val="32BD340F"/>
    <w:rsid w:val="32DD2839"/>
    <w:rsid w:val="32E524C6"/>
    <w:rsid w:val="32EF4442"/>
    <w:rsid w:val="331B7528"/>
    <w:rsid w:val="335C39B7"/>
    <w:rsid w:val="337241AF"/>
    <w:rsid w:val="33A90FA7"/>
    <w:rsid w:val="33DE1075"/>
    <w:rsid w:val="33EF0EB9"/>
    <w:rsid w:val="343174BF"/>
    <w:rsid w:val="34507E66"/>
    <w:rsid w:val="34517641"/>
    <w:rsid w:val="34725A08"/>
    <w:rsid w:val="349C3553"/>
    <w:rsid w:val="34BA6A43"/>
    <w:rsid w:val="34D95B5B"/>
    <w:rsid w:val="34E40B73"/>
    <w:rsid w:val="35B26F5D"/>
    <w:rsid w:val="35CB0C32"/>
    <w:rsid w:val="373A6562"/>
    <w:rsid w:val="377B04B9"/>
    <w:rsid w:val="3782280D"/>
    <w:rsid w:val="38425E78"/>
    <w:rsid w:val="384B7DB5"/>
    <w:rsid w:val="387F56C5"/>
    <w:rsid w:val="38C550CC"/>
    <w:rsid w:val="38CC32E9"/>
    <w:rsid w:val="39113857"/>
    <w:rsid w:val="395272A4"/>
    <w:rsid w:val="39861DB6"/>
    <w:rsid w:val="39B7646C"/>
    <w:rsid w:val="3A515506"/>
    <w:rsid w:val="3A9B53A8"/>
    <w:rsid w:val="3AD315C0"/>
    <w:rsid w:val="3B4B1C64"/>
    <w:rsid w:val="3B8D26FE"/>
    <w:rsid w:val="3BCD3B12"/>
    <w:rsid w:val="3BFB0097"/>
    <w:rsid w:val="3C494742"/>
    <w:rsid w:val="3C5D725D"/>
    <w:rsid w:val="3C694435"/>
    <w:rsid w:val="3CB1147D"/>
    <w:rsid w:val="3D332653"/>
    <w:rsid w:val="3D743879"/>
    <w:rsid w:val="3D8A75D7"/>
    <w:rsid w:val="3E654A89"/>
    <w:rsid w:val="3E66530C"/>
    <w:rsid w:val="3E8511AE"/>
    <w:rsid w:val="3EEC628D"/>
    <w:rsid w:val="3F374F34"/>
    <w:rsid w:val="3F8140E1"/>
    <w:rsid w:val="3FEC5296"/>
    <w:rsid w:val="3FF20D94"/>
    <w:rsid w:val="400F5867"/>
    <w:rsid w:val="40501FDE"/>
    <w:rsid w:val="40537C46"/>
    <w:rsid w:val="40622BD5"/>
    <w:rsid w:val="40AD4F96"/>
    <w:rsid w:val="40B104C2"/>
    <w:rsid w:val="40B24791"/>
    <w:rsid w:val="40BD7513"/>
    <w:rsid w:val="40CF6D7D"/>
    <w:rsid w:val="40E27512"/>
    <w:rsid w:val="40FB2C8B"/>
    <w:rsid w:val="411A72F1"/>
    <w:rsid w:val="412E1C2D"/>
    <w:rsid w:val="41863FD8"/>
    <w:rsid w:val="420E1947"/>
    <w:rsid w:val="423416A4"/>
    <w:rsid w:val="427749CA"/>
    <w:rsid w:val="42BC5EC5"/>
    <w:rsid w:val="438B2927"/>
    <w:rsid w:val="43D0629A"/>
    <w:rsid w:val="44767C12"/>
    <w:rsid w:val="44905AD7"/>
    <w:rsid w:val="449B1C29"/>
    <w:rsid w:val="44AB1ECB"/>
    <w:rsid w:val="44F00893"/>
    <w:rsid w:val="450F2012"/>
    <w:rsid w:val="451A7EE3"/>
    <w:rsid w:val="454E44DE"/>
    <w:rsid w:val="458E1179"/>
    <w:rsid w:val="459C19F8"/>
    <w:rsid w:val="4642377D"/>
    <w:rsid w:val="47874835"/>
    <w:rsid w:val="47A45891"/>
    <w:rsid w:val="47DF4739"/>
    <w:rsid w:val="47F00333"/>
    <w:rsid w:val="48316C94"/>
    <w:rsid w:val="488D604A"/>
    <w:rsid w:val="48A81A5E"/>
    <w:rsid w:val="48D15432"/>
    <w:rsid w:val="48DE150E"/>
    <w:rsid w:val="491A74E4"/>
    <w:rsid w:val="49914F60"/>
    <w:rsid w:val="49F80208"/>
    <w:rsid w:val="4A1054EB"/>
    <w:rsid w:val="4A612028"/>
    <w:rsid w:val="4AE54DA3"/>
    <w:rsid w:val="4B212BE9"/>
    <w:rsid w:val="4B440CD1"/>
    <w:rsid w:val="4B554642"/>
    <w:rsid w:val="4BE02F5E"/>
    <w:rsid w:val="4CB0134B"/>
    <w:rsid w:val="4D4E2E6C"/>
    <w:rsid w:val="4D644BFA"/>
    <w:rsid w:val="4E255D27"/>
    <w:rsid w:val="4E5D78A0"/>
    <w:rsid w:val="4E6D658B"/>
    <w:rsid w:val="4EBA7309"/>
    <w:rsid w:val="4EE263A8"/>
    <w:rsid w:val="4F0B6895"/>
    <w:rsid w:val="4F0C4AE6"/>
    <w:rsid w:val="4F335A32"/>
    <w:rsid w:val="4F3C5AEB"/>
    <w:rsid w:val="4F4A0B2A"/>
    <w:rsid w:val="4F6B07AF"/>
    <w:rsid w:val="502A1081"/>
    <w:rsid w:val="502C6990"/>
    <w:rsid w:val="50600FCC"/>
    <w:rsid w:val="506E25BA"/>
    <w:rsid w:val="528F46F5"/>
    <w:rsid w:val="52FA1B71"/>
    <w:rsid w:val="53590EEF"/>
    <w:rsid w:val="53932A25"/>
    <w:rsid w:val="53AA009B"/>
    <w:rsid w:val="53E25BBC"/>
    <w:rsid w:val="542D7A6B"/>
    <w:rsid w:val="54CE05BB"/>
    <w:rsid w:val="54DC3229"/>
    <w:rsid w:val="559B3150"/>
    <w:rsid w:val="55C40C5D"/>
    <w:rsid w:val="56A5380A"/>
    <w:rsid w:val="57882EE7"/>
    <w:rsid w:val="57BA401D"/>
    <w:rsid w:val="5858150A"/>
    <w:rsid w:val="58794471"/>
    <w:rsid w:val="58882C2D"/>
    <w:rsid w:val="58A85C8A"/>
    <w:rsid w:val="58B974CB"/>
    <w:rsid w:val="59142F1B"/>
    <w:rsid w:val="591633E4"/>
    <w:rsid w:val="59212F05"/>
    <w:rsid w:val="59AA44F2"/>
    <w:rsid w:val="59F15629"/>
    <w:rsid w:val="5A000967"/>
    <w:rsid w:val="5A53457F"/>
    <w:rsid w:val="5A76189E"/>
    <w:rsid w:val="5A895443"/>
    <w:rsid w:val="5B3B248F"/>
    <w:rsid w:val="5B4D25FA"/>
    <w:rsid w:val="5B687D21"/>
    <w:rsid w:val="5C1F6B9B"/>
    <w:rsid w:val="5C3461B4"/>
    <w:rsid w:val="5C5A0A5C"/>
    <w:rsid w:val="5C9416AA"/>
    <w:rsid w:val="5D385073"/>
    <w:rsid w:val="5DB76FE1"/>
    <w:rsid w:val="5DFE0705"/>
    <w:rsid w:val="5E2E7A52"/>
    <w:rsid w:val="5EC15458"/>
    <w:rsid w:val="5EC54E9D"/>
    <w:rsid w:val="5F874138"/>
    <w:rsid w:val="60022FF0"/>
    <w:rsid w:val="61297965"/>
    <w:rsid w:val="61E36E6E"/>
    <w:rsid w:val="61EE6A0C"/>
    <w:rsid w:val="62445D5C"/>
    <w:rsid w:val="62981A46"/>
    <w:rsid w:val="62B0623B"/>
    <w:rsid w:val="62B52AD0"/>
    <w:rsid w:val="6300186A"/>
    <w:rsid w:val="637F3E20"/>
    <w:rsid w:val="63B208CE"/>
    <w:rsid w:val="63D66022"/>
    <w:rsid w:val="65164ED2"/>
    <w:rsid w:val="66321CD7"/>
    <w:rsid w:val="668959C5"/>
    <w:rsid w:val="668B77C8"/>
    <w:rsid w:val="66A2612C"/>
    <w:rsid w:val="66CC3C2E"/>
    <w:rsid w:val="66F17028"/>
    <w:rsid w:val="670A1447"/>
    <w:rsid w:val="6710532F"/>
    <w:rsid w:val="67106301"/>
    <w:rsid w:val="673E46D1"/>
    <w:rsid w:val="6746632B"/>
    <w:rsid w:val="67642EB8"/>
    <w:rsid w:val="6792126C"/>
    <w:rsid w:val="67EF7AB2"/>
    <w:rsid w:val="68A4075D"/>
    <w:rsid w:val="68A4235D"/>
    <w:rsid w:val="68F03E72"/>
    <w:rsid w:val="6920706F"/>
    <w:rsid w:val="69347F1F"/>
    <w:rsid w:val="693E2CCB"/>
    <w:rsid w:val="6A6A6DD8"/>
    <w:rsid w:val="6A891F38"/>
    <w:rsid w:val="6AE16A6E"/>
    <w:rsid w:val="6AF945A0"/>
    <w:rsid w:val="6B103237"/>
    <w:rsid w:val="6B43617F"/>
    <w:rsid w:val="6B73374D"/>
    <w:rsid w:val="6BC54E0B"/>
    <w:rsid w:val="6C553335"/>
    <w:rsid w:val="6C662A1A"/>
    <w:rsid w:val="6CA43202"/>
    <w:rsid w:val="6CD65869"/>
    <w:rsid w:val="6D436007"/>
    <w:rsid w:val="6D6B4DEC"/>
    <w:rsid w:val="6DAE5529"/>
    <w:rsid w:val="6DD81C27"/>
    <w:rsid w:val="6E1803D4"/>
    <w:rsid w:val="6E1C72A6"/>
    <w:rsid w:val="6E7840A9"/>
    <w:rsid w:val="6E945CA4"/>
    <w:rsid w:val="6EDE53FF"/>
    <w:rsid w:val="6F087F80"/>
    <w:rsid w:val="6F347C83"/>
    <w:rsid w:val="711C52F0"/>
    <w:rsid w:val="718757D5"/>
    <w:rsid w:val="720923EA"/>
    <w:rsid w:val="72345669"/>
    <w:rsid w:val="72524C10"/>
    <w:rsid w:val="72583B60"/>
    <w:rsid w:val="725C7213"/>
    <w:rsid w:val="729F09F6"/>
    <w:rsid w:val="72A23E0A"/>
    <w:rsid w:val="735A73BC"/>
    <w:rsid w:val="73E736DC"/>
    <w:rsid w:val="741B4412"/>
    <w:rsid w:val="741C59D5"/>
    <w:rsid w:val="742C6F41"/>
    <w:rsid w:val="74CA5A8C"/>
    <w:rsid w:val="74E07B03"/>
    <w:rsid w:val="759144D4"/>
    <w:rsid w:val="760942B8"/>
    <w:rsid w:val="76B2183F"/>
    <w:rsid w:val="76C06CB8"/>
    <w:rsid w:val="76C61F74"/>
    <w:rsid w:val="76E9770A"/>
    <w:rsid w:val="77197ECA"/>
    <w:rsid w:val="77381407"/>
    <w:rsid w:val="77853B0F"/>
    <w:rsid w:val="785B2577"/>
    <w:rsid w:val="78BC3BDB"/>
    <w:rsid w:val="78D1722D"/>
    <w:rsid w:val="78E4242C"/>
    <w:rsid w:val="793E04CF"/>
    <w:rsid w:val="79A0298D"/>
    <w:rsid w:val="7A754209"/>
    <w:rsid w:val="7AF704BA"/>
    <w:rsid w:val="7B3B7757"/>
    <w:rsid w:val="7B7A1459"/>
    <w:rsid w:val="7C646C76"/>
    <w:rsid w:val="7CDD787D"/>
    <w:rsid w:val="7D050DE9"/>
    <w:rsid w:val="7D2413E1"/>
    <w:rsid w:val="7D5138EF"/>
    <w:rsid w:val="7DA32CDA"/>
    <w:rsid w:val="7DDF5375"/>
    <w:rsid w:val="7DE15F61"/>
    <w:rsid w:val="7E1340FA"/>
    <w:rsid w:val="7E933CDB"/>
    <w:rsid w:val="7EF164E2"/>
    <w:rsid w:val="7F5658DE"/>
    <w:rsid w:val="7F5B71D4"/>
    <w:rsid w:val="7F751FEE"/>
    <w:rsid w:val="7F75441C"/>
    <w:rsid w:val="7F9B3C21"/>
    <w:rsid w:val="7FAB1DF7"/>
    <w:rsid w:val="7FAE5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Body Text"/>
    <w:basedOn w:val="1"/>
    <w:qFormat/>
    <w:uiPriority w:val="0"/>
    <w:rPr>
      <w:rFonts w:ascii="仿宋_GB2312" w:eastAsia="仿宋_GB2312"/>
      <w:sz w:val="24"/>
      <w:szCs w:val="20"/>
    </w:rPr>
  </w:style>
  <w:style w:type="paragraph" w:styleId="14">
    <w:name w:val="Body Text Indent"/>
    <w:basedOn w:val="1"/>
    <w:qFormat/>
    <w:uiPriority w:val="0"/>
    <w:pPr>
      <w:ind w:firstLine="480"/>
    </w:pPr>
    <w:rPr>
      <w:szCs w:val="20"/>
    </w:rPr>
  </w:style>
  <w:style w:type="paragraph" w:styleId="15">
    <w:name w:val="HTML Address"/>
    <w:basedOn w:val="1"/>
    <w:qFormat/>
    <w:uiPriority w:val="0"/>
    <w:rPr>
      <w:i/>
      <w:iCs/>
    </w:rPr>
  </w:style>
  <w:style w:type="paragraph" w:styleId="16">
    <w:name w:val="Date"/>
    <w:basedOn w:val="1"/>
    <w:next w:val="1"/>
    <w:qFormat/>
    <w:uiPriority w:val="0"/>
    <w:rPr>
      <w:szCs w:val="20"/>
    </w:rPr>
  </w:style>
  <w:style w:type="paragraph" w:styleId="17">
    <w:name w:val="Body Text Indent 2"/>
    <w:basedOn w:val="1"/>
    <w:qFormat/>
    <w:uiPriority w:val="0"/>
    <w:pPr>
      <w:ind w:firstLine="480"/>
    </w:pPr>
    <w:rPr>
      <w:color w:val="000000"/>
      <w:szCs w:val="20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4">
    <w:name w:val="annotation subject"/>
    <w:basedOn w:val="12"/>
    <w:next w:val="12"/>
    <w:semiHidden/>
    <w:qFormat/>
    <w:uiPriority w:val="0"/>
    <w:rPr>
      <w:b/>
      <w:bCs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HTML Definition"/>
    <w:qFormat/>
    <w:uiPriority w:val="0"/>
    <w:rPr>
      <w:i/>
      <w:iCs/>
    </w:rPr>
  </w:style>
  <w:style w:type="character" w:styleId="30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1">
    <w:name w:val="HTML Acronym"/>
    <w:basedOn w:val="27"/>
    <w:qFormat/>
    <w:uiPriority w:val="0"/>
  </w:style>
  <w:style w:type="character" w:styleId="32">
    <w:name w:val="HTML Variable"/>
    <w:qFormat/>
    <w:uiPriority w:val="0"/>
    <w:rPr>
      <w:i/>
      <w:iCs/>
    </w:rPr>
  </w:style>
  <w:style w:type="character" w:styleId="33">
    <w:name w:val="Hyperlink"/>
    <w:qFormat/>
    <w:uiPriority w:val="0"/>
    <w:rPr>
      <w:rFonts w:ascii="Times New Roman" w:hAnsi="Times New Roman" w:eastAsia="宋体"/>
      <w:color w:val="auto"/>
      <w:spacing w:val="0"/>
      <w:position w:val="0"/>
      <w:sz w:val="21"/>
      <w:u w:val="none"/>
      <w:vertAlign w:val="baseline"/>
    </w:rPr>
  </w:style>
  <w:style w:type="character" w:styleId="34">
    <w:name w:val="HTML Code"/>
    <w:qFormat/>
    <w:uiPriority w:val="0"/>
    <w:rPr>
      <w:rFonts w:ascii="Courier New" w:hAnsi="Courier New"/>
      <w:sz w:val="20"/>
      <w:szCs w:val="20"/>
    </w:rPr>
  </w:style>
  <w:style w:type="character" w:styleId="35">
    <w:name w:val="annotation reference"/>
    <w:semiHidden/>
    <w:qFormat/>
    <w:uiPriority w:val="0"/>
    <w:rPr>
      <w:sz w:val="21"/>
      <w:szCs w:val="21"/>
    </w:rPr>
  </w:style>
  <w:style w:type="character" w:styleId="36">
    <w:name w:val="HTML Cite"/>
    <w:qFormat/>
    <w:uiPriority w:val="0"/>
    <w:rPr>
      <w:i/>
      <w:iCs/>
    </w:rPr>
  </w:style>
  <w:style w:type="character" w:styleId="37">
    <w:name w:val="footnote reference"/>
    <w:semiHidden/>
    <w:qFormat/>
    <w:uiPriority w:val="0"/>
    <w:rPr>
      <w:vertAlign w:val="superscript"/>
    </w:rPr>
  </w:style>
  <w:style w:type="character" w:styleId="38">
    <w:name w:val="HTML Keyboard"/>
    <w:qFormat/>
    <w:uiPriority w:val="0"/>
    <w:rPr>
      <w:rFonts w:ascii="Courier New" w:hAnsi="Courier New"/>
      <w:sz w:val="20"/>
      <w:szCs w:val="20"/>
    </w:rPr>
  </w:style>
  <w:style w:type="character" w:styleId="39">
    <w:name w:val="HTML Sample"/>
    <w:qFormat/>
    <w:uiPriority w:val="0"/>
    <w:rPr>
      <w:rFonts w:ascii="Courier New" w:hAnsi="Courier New"/>
    </w:rPr>
  </w:style>
  <w:style w:type="paragraph" w:customStyle="1" w:styleId="40">
    <w:name w:val="标准标志"/>
    <w:next w:val="1"/>
    <w:qFormat/>
    <w:uiPriority w:val="0"/>
    <w:pPr>
      <w:framePr w:w="2268" w:h="1392" w:hRule="exact" w:wrap="around" w:vAnchor="margin" w:hAnchor="margin" w:x="6748" w:y="17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1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5">
    <w:name w:val="标准书眉_偶数页"/>
    <w:basedOn w:val="44"/>
    <w:next w:val="1"/>
    <w:qFormat/>
    <w:uiPriority w:val="0"/>
    <w:pPr>
      <w:jc w:val="left"/>
    </w:pPr>
  </w:style>
  <w:style w:type="paragraph" w:customStyle="1" w:styleId="4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8">
    <w:name w:val="参考文献、索引标题"/>
    <w:basedOn w:val="47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4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章标题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">
    <w:name w:val="一级条标题"/>
    <w:basedOn w:val="50"/>
    <w:qFormat/>
    <w:uiPriority w:val="0"/>
    <w:pPr>
      <w:spacing w:beforeLines="0" w:afterLines="0"/>
      <w:outlineLvl w:val="2"/>
    </w:pPr>
  </w:style>
  <w:style w:type="paragraph" w:customStyle="1" w:styleId="52">
    <w:name w:val="二级条标题"/>
    <w:basedOn w:val="51"/>
    <w:qFormat/>
    <w:uiPriority w:val="0"/>
    <w:pPr>
      <w:outlineLvl w:val="3"/>
    </w:pPr>
  </w:style>
  <w:style w:type="paragraph" w:customStyle="1" w:styleId="53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4">
    <w:name w:val="发布"/>
    <w:qFormat/>
    <w:uiPriority w:val="0"/>
    <w:rPr>
      <w:rFonts w:ascii="黑体" w:eastAsia="黑体"/>
      <w:spacing w:val="22"/>
      <w:position w:val="3"/>
      <w:sz w:val="28"/>
    </w:rPr>
  </w:style>
  <w:style w:type="paragraph" w:customStyle="1" w:styleId="55">
    <w:name w:val="发布部门"/>
    <w:qFormat/>
    <w:uiPriority w:val="0"/>
    <w:pPr>
      <w:framePr w:w="7433" w:h="585" w:hRule="exact" w:hSpace="180" w:vSpace="180" w:wrap="around" w:vAnchor="margin" w:hAnchor="margin" w:xAlign="center" w:y="1440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6">
    <w:name w:val="发布日期"/>
    <w:qFormat/>
    <w:uiPriority w:val="0"/>
    <w:pPr>
      <w:framePr w:w="4000" w:h="473" w:hRule="exact" w:hSpace="180" w:vSpace="180" w:wrap="around" w:vAnchor="margin" w:hAnchor="margin" w:y="1351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8">
    <w:name w:val="封面标准号2"/>
    <w:basedOn w:val="57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59">
    <w:name w:val="封面标准代替信息"/>
    <w:basedOn w:val="58"/>
    <w:qFormat/>
    <w:uiPriority w:val="0"/>
    <w:pPr>
      <w:spacing w:before="57"/>
    </w:pPr>
    <w:rPr>
      <w:rFonts w:ascii="宋体"/>
      <w:sz w:val="21"/>
    </w:rPr>
  </w:style>
  <w:style w:type="paragraph" w:customStyle="1" w:styleId="60">
    <w:name w:val="封面标准名称"/>
    <w:qFormat/>
    <w:uiPriority w:val="0"/>
    <w:pPr>
      <w:framePr w:w="9638" w:h="6917" w:hRule="exact" w:wrap="around" w:vAnchor="margin" w:hAnchor="margin" w:xAlign="center" w:y="5955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附录标识"/>
    <w:basedOn w:val="47"/>
    <w:qFormat/>
    <w:uiPriority w:val="0"/>
    <w:pPr>
      <w:numPr>
        <w:numId w:val="3"/>
      </w:numPr>
      <w:tabs>
        <w:tab w:val="left" w:pos="6405"/>
      </w:tabs>
      <w:spacing w:after="200"/>
      <w:ind w:left="0"/>
    </w:pPr>
    <w:rPr>
      <w:sz w:val="21"/>
    </w:rPr>
  </w:style>
  <w:style w:type="paragraph" w:customStyle="1" w:styleId="67">
    <w:name w:val="附录表标题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8">
    <w:name w:val="附录章标题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9">
    <w:name w:val="附录一级条标题"/>
    <w:basedOn w:val="68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0">
    <w:name w:val="附录二级条标题"/>
    <w:basedOn w:val="69"/>
    <w:qFormat/>
    <w:uiPriority w:val="0"/>
    <w:pPr>
      <w:numPr>
        <w:ilvl w:val="3"/>
      </w:numPr>
      <w:outlineLvl w:val="3"/>
    </w:pPr>
  </w:style>
  <w:style w:type="paragraph" w:customStyle="1" w:styleId="71">
    <w:name w:val="附录三级条标题"/>
    <w:basedOn w:val="70"/>
    <w:qFormat/>
    <w:uiPriority w:val="0"/>
    <w:pPr>
      <w:numPr>
        <w:ilvl w:val="4"/>
      </w:numPr>
      <w:outlineLvl w:val="4"/>
    </w:pPr>
  </w:style>
  <w:style w:type="paragraph" w:customStyle="1" w:styleId="72">
    <w:name w:val="附录四级条标题"/>
    <w:basedOn w:val="71"/>
    <w:qFormat/>
    <w:uiPriority w:val="0"/>
    <w:pPr>
      <w:numPr>
        <w:ilvl w:val="5"/>
      </w:numPr>
      <w:outlineLvl w:val="5"/>
    </w:pPr>
  </w:style>
  <w:style w:type="paragraph" w:customStyle="1" w:styleId="73">
    <w:name w:val="附录图标题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">
    <w:name w:val="附录五级条标题"/>
    <w:basedOn w:val="72"/>
    <w:qFormat/>
    <w:uiPriority w:val="0"/>
    <w:pPr>
      <w:numPr>
        <w:ilvl w:val="6"/>
      </w:numPr>
      <w:outlineLvl w:val="6"/>
    </w:p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77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目次、标准名称标题"/>
    <w:basedOn w:val="47"/>
    <w:qFormat/>
    <w:uiPriority w:val="0"/>
    <w:pPr>
      <w:numPr>
        <w:numId w:val="0"/>
      </w:numPr>
      <w:spacing w:line="460" w:lineRule="exact"/>
    </w:pPr>
  </w:style>
  <w:style w:type="paragraph" w:customStyle="1" w:styleId="8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目录 1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目录 21"/>
    <w:basedOn w:val="81"/>
    <w:semiHidden/>
    <w:qFormat/>
    <w:uiPriority w:val="0"/>
  </w:style>
  <w:style w:type="paragraph" w:customStyle="1" w:styleId="83">
    <w:name w:val="目录 31"/>
    <w:basedOn w:val="82"/>
    <w:semiHidden/>
    <w:qFormat/>
    <w:uiPriority w:val="0"/>
  </w:style>
  <w:style w:type="paragraph" w:customStyle="1" w:styleId="84">
    <w:name w:val="目录 41"/>
    <w:basedOn w:val="83"/>
    <w:semiHidden/>
    <w:qFormat/>
    <w:uiPriority w:val="0"/>
  </w:style>
  <w:style w:type="paragraph" w:customStyle="1" w:styleId="85">
    <w:name w:val="目录 51"/>
    <w:basedOn w:val="84"/>
    <w:semiHidden/>
    <w:qFormat/>
    <w:uiPriority w:val="0"/>
  </w:style>
  <w:style w:type="paragraph" w:customStyle="1" w:styleId="86">
    <w:name w:val="目录 61"/>
    <w:basedOn w:val="85"/>
    <w:semiHidden/>
    <w:qFormat/>
    <w:uiPriority w:val="0"/>
  </w:style>
  <w:style w:type="paragraph" w:customStyle="1" w:styleId="87">
    <w:name w:val="目录 71"/>
    <w:basedOn w:val="86"/>
    <w:semiHidden/>
    <w:qFormat/>
    <w:uiPriority w:val="0"/>
  </w:style>
  <w:style w:type="paragraph" w:customStyle="1" w:styleId="88">
    <w:name w:val="目录 81"/>
    <w:basedOn w:val="87"/>
    <w:semiHidden/>
    <w:qFormat/>
    <w:uiPriority w:val="0"/>
  </w:style>
  <w:style w:type="paragraph" w:customStyle="1" w:styleId="89">
    <w:name w:val="目录 91"/>
    <w:basedOn w:val="88"/>
    <w:semiHidden/>
    <w:qFormat/>
    <w:uiPriority w:val="0"/>
  </w:style>
  <w:style w:type="paragraph" w:customStyle="1" w:styleId="9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1">
    <w:name w:val="其他发布部门"/>
    <w:basedOn w:val="5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2">
    <w:name w:val="三级条标题"/>
    <w:basedOn w:val="52"/>
    <w:qFormat/>
    <w:uiPriority w:val="0"/>
    <w:pPr>
      <w:outlineLvl w:val="4"/>
    </w:pPr>
  </w:style>
  <w:style w:type="paragraph" w:customStyle="1" w:styleId="93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94">
    <w:name w:val="实施日期"/>
    <w:basedOn w:val="56"/>
    <w:qFormat/>
    <w:uiPriority w:val="0"/>
    <w:pPr>
      <w:framePr w:hSpace="0" w:xAlign="right"/>
      <w:jc w:val="right"/>
    </w:pPr>
  </w:style>
  <w:style w:type="paragraph" w:customStyle="1" w:styleId="95">
    <w:name w:val="示例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四级条标题"/>
    <w:basedOn w:val="92"/>
    <w:qFormat/>
    <w:uiPriority w:val="0"/>
    <w:pPr>
      <w:outlineLvl w:val="5"/>
    </w:pPr>
  </w:style>
  <w:style w:type="paragraph" w:customStyle="1" w:styleId="98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9">
    <w:name w:val="条文脚注"/>
    <w:basedOn w:val="21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00">
    <w:name w:val="图表脚注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文献分类号"/>
    <w:qFormat/>
    <w:uiPriority w:val="0"/>
    <w:pPr>
      <w:framePr w:hSpace="180" w:vSpace="180" w:wrap="around" w:vAnchor="margin" w:hAnchor="margin" w:y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2">
    <w:name w:val="无标题条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3">
    <w:name w:val="五级条标题"/>
    <w:basedOn w:val="97"/>
    <w:qFormat/>
    <w:uiPriority w:val="0"/>
    <w:pPr>
      <w:outlineLvl w:val="6"/>
    </w:pPr>
  </w:style>
  <w:style w:type="paragraph" w:customStyle="1" w:styleId="104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5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6">
    <w:name w:val="正文表标题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正文图标题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8">
    <w:name w:val="注：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9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1">
    <w:name w:val="已访问的超链接1"/>
    <w:qFormat/>
    <w:uiPriority w:val="0"/>
    <w:rPr>
      <w:color w:val="800080"/>
      <w:u w:val="single"/>
    </w:rPr>
  </w:style>
  <w:style w:type="character" w:customStyle="1" w:styleId="112">
    <w:name w:val="段 Char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113">
    <w:name w:val="章标题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14">
    <w:name w:val="一级条标题 Char"/>
    <w:basedOn w:val="113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15">
    <w:name w:val="二级条标题 Char"/>
    <w:basedOn w:val="114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1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17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18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19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.y..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Sim Sun" w:eastAsia="Sim Sun"/>
      <w:kern w:val="0"/>
      <w:sz w:val="24"/>
    </w:rPr>
  </w:style>
  <w:style w:type="character" w:customStyle="1" w:styleId="123">
    <w:name w:val="正文图标题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24">
    <w:name w:val="样式 三级条标题 + 宋体 Char"/>
    <w:qFormat/>
    <w:uiPriority w:val="0"/>
    <w:rPr>
      <w:rFonts w:ascii="宋体" w:hAnsi="宋体" w:eastAsia="黑体"/>
      <w:color w:val="000000"/>
      <w:kern w:val="2"/>
      <w:sz w:val="21"/>
      <w:szCs w:val="21"/>
      <w:lang w:val="en-US" w:eastAsia="zh-CN" w:bidi="ar-SA"/>
    </w:rPr>
  </w:style>
  <w:style w:type="character" w:customStyle="1" w:styleId="125">
    <w:name w:val="样式 四级条标题 + 宋体 Char"/>
    <w:qFormat/>
    <w:uiPriority w:val="0"/>
    <w:rPr>
      <w:rFonts w:ascii="宋体" w:hAnsi="宋体" w:eastAsia="黑体"/>
      <w:color w:val="000000"/>
      <w:sz w:val="21"/>
      <w:szCs w:val="21"/>
    </w:rPr>
  </w:style>
  <w:style w:type="character" w:customStyle="1" w:styleId="126">
    <w:name w:val="三级条标题 Char"/>
    <w:basedOn w:val="115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27">
    <w:name w:val="四级条标题 Char"/>
    <w:basedOn w:val="126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128">
    <w:name w:val="样式 三级条标题 + 宋体 行距: 多倍行距 1.25 字行"/>
    <w:basedOn w:val="92"/>
    <w:qFormat/>
    <w:uiPriority w:val="0"/>
    <w:pPr>
      <w:spacing w:line="300" w:lineRule="auto"/>
      <w:ind w:left="2340"/>
    </w:pPr>
    <w:rPr>
      <w:rFonts w:ascii="宋体" w:hAnsi="宋体"/>
      <w:color w:val="000000"/>
      <w:kern w:val="2"/>
      <w:szCs w:val="21"/>
    </w:rPr>
  </w:style>
  <w:style w:type="paragraph" w:customStyle="1" w:styleId="129">
    <w:name w:val="样式 三级条标题 + 宋体"/>
    <w:basedOn w:val="92"/>
    <w:qFormat/>
    <w:uiPriority w:val="0"/>
    <w:pPr>
      <w:spacing w:line="300" w:lineRule="auto"/>
    </w:pPr>
    <w:rPr>
      <w:rFonts w:ascii="宋体" w:hAnsi="宋体"/>
      <w:color w:val="000000"/>
      <w:kern w:val="2"/>
      <w:szCs w:val="21"/>
    </w:rPr>
  </w:style>
  <w:style w:type="paragraph" w:customStyle="1" w:styleId="130">
    <w:name w:val="样式 四级条标题 + 宋体"/>
    <w:basedOn w:val="97"/>
    <w:qFormat/>
    <w:uiPriority w:val="0"/>
    <w:pPr>
      <w:tabs>
        <w:tab w:val="left" w:pos="1440"/>
      </w:tabs>
      <w:spacing w:line="300" w:lineRule="auto"/>
    </w:pPr>
    <w:rPr>
      <w:rFonts w:ascii="宋体" w:hAnsi="宋体"/>
      <w:color w:val="000000"/>
      <w:szCs w:val="21"/>
    </w:rPr>
  </w:style>
  <w:style w:type="paragraph" w:customStyle="1" w:styleId="131">
    <w:name w:val="样式 二级条标题 + 宋体 行距: 多倍行距 1.25 字行"/>
    <w:basedOn w:val="1"/>
    <w:qFormat/>
    <w:uiPriority w:val="0"/>
    <w:pPr>
      <w:widowControl/>
      <w:spacing w:line="300" w:lineRule="auto"/>
      <w:outlineLvl w:val="3"/>
    </w:pPr>
    <w:rPr>
      <w:rFonts w:ascii="黑体" w:hAnsi="宋体" w:eastAsia="黑体"/>
      <w:kern w:val="0"/>
      <w:szCs w:val="20"/>
    </w:rPr>
  </w:style>
  <w:style w:type="paragraph" w:customStyle="1" w:styleId="132">
    <w:name w:val="样式 四级条标题 + 宋体 行距: 多倍行距 1.25 字行"/>
    <w:basedOn w:val="97"/>
    <w:qFormat/>
    <w:uiPriority w:val="0"/>
    <w:pPr>
      <w:spacing w:line="300" w:lineRule="auto"/>
    </w:pPr>
    <w:rPr>
      <w:rFonts w:ascii="宋体" w:hAnsi="宋体" w:eastAsia="宋体"/>
      <w:color w:val="000000"/>
      <w:szCs w:val="21"/>
    </w:rPr>
  </w:style>
  <w:style w:type="paragraph" w:customStyle="1" w:styleId="133">
    <w:name w:val="样式 三级条标题 + (西文) 宋体 (中文) 宋体 行距: 多倍行距 1.25 字行"/>
    <w:basedOn w:val="92"/>
    <w:qFormat/>
    <w:uiPriority w:val="0"/>
    <w:pPr>
      <w:tabs>
        <w:tab w:val="left" w:pos="2100"/>
      </w:tabs>
      <w:spacing w:line="300" w:lineRule="auto"/>
    </w:pPr>
    <w:rPr>
      <w:rFonts w:ascii="宋体" w:hAnsi="宋体" w:eastAsia="宋体"/>
      <w:color w:val="000000"/>
      <w:szCs w:val="21"/>
    </w:rPr>
  </w:style>
  <w:style w:type="character" w:customStyle="1" w:styleId="134">
    <w:name w:val="正文文本 字符"/>
    <w:qFormat/>
    <w:uiPriority w:val="0"/>
    <w:rPr>
      <w:rFonts w:ascii="仿宋_GB2312" w:eastAsia="仿宋_GB2312"/>
      <w:kern w:val="2"/>
      <w:sz w:val="24"/>
    </w:rPr>
  </w:style>
  <w:style w:type="paragraph" w:customStyle="1" w:styleId="135">
    <w:name w:val="样式 三级条标题 + (西文) Times New Roman (中文) 宋体 行距: 多倍行距 1.25 字行"/>
    <w:basedOn w:val="92"/>
    <w:qFormat/>
    <w:uiPriority w:val="0"/>
    <w:pPr>
      <w:spacing w:line="300" w:lineRule="auto"/>
    </w:pPr>
    <w:rPr>
      <w:rFonts w:ascii="Times New Roman" w:hAnsi="黑体" w:eastAsia="宋体"/>
      <w:color w:val="000000"/>
      <w:kern w:val="2"/>
      <w:szCs w:val="21"/>
    </w:rPr>
  </w:style>
  <w:style w:type="paragraph" w:customStyle="1" w:styleId="136">
    <w:name w:val="样式 二级条标题 + Times New Roman"/>
    <w:basedOn w:val="52"/>
    <w:qFormat/>
    <w:uiPriority w:val="0"/>
    <w:pPr>
      <w:spacing w:line="300" w:lineRule="auto"/>
      <w:ind w:left="709"/>
    </w:pPr>
    <w:rPr>
      <w:rFonts w:hAnsi="黑体"/>
      <w:color w:val="000000"/>
      <w:szCs w:val="21"/>
    </w:rPr>
  </w:style>
  <w:style w:type="character" w:customStyle="1" w:styleId="137">
    <w:name w:val="样式 二级条标题 + Times New Roman Char"/>
    <w:qFormat/>
    <w:uiPriority w:val="0"/>
    <w:rPr>
      <w:rFonts w:ascii="黑体" w:hAnsi="黑体" w:eastAsia="黑体"/>
      <w:color w:val="000000"/>
      <w:sz w:val="21"/>
      <w:szCs w:val="21"/>
    </w:rPr>
  </w:style>
  <w:style w:type="paragraph" w:customStyle="1" w:styleId="138">
    <w:name w:val="样式 三级条标题 + Times New Roman 行距: 多倍行距 1.25 字行"/>
    <w:basedOn w:val="92"/>
    <w:qFormat/>
    <w:uiPriority w:val="0"/>
    <w:pPr>
      <w:spacing w:line="300" w:lineRule="auto"/>
    </w:pPr>
    <w:rPr>
      <w:rFonts w:ascii="Times New Roman" w:hAnsi="黑体" w:cs="宋体"/>
      <w:color w:val="000000"/>
      <w:szCs w:val="21"/>
    </w:rPr>
  </w:style>
  <w:style w:type="paragraph" w:customStyle="1" w:styleId="139">
    <w:name w:val="样式 三级条标题 + 右侧:  0.37 厘米 行距: 多倍行距 1.25 字行"/>
    <w:basedOn w:val="92"/>
    <w:qFormat/>
    <w:uiPriority w:val="0"/>
    <w:pPr>
      <w:spacing w:line="300" w:lineRule="auto"/>
      <w:ind w:right="210"/>
    </w:pPr>
    <w:rPr>
      <w:rFonts w:hAnsi="黑体" w:cs="宋体"/>
      <w:color w:val="000000"/>
      <w:szCs w:val="21"/>
    </w:rPr>
  </w:style>
  <w:style w:type="paragraph" w:customStyle="1" w:styleId="140">
    <w:name w:val="样式 样式 三级条标题 + 宋体 行距: 多倍行距 1.25 字行 + 黑体"/>
    <w:basedOn w:val="128"/>
    <w:qFormat/>
    <w:uiPriority w:val="0"/>
    <w:pPr>
      <w:ind w:left="0"/>
    </w:pPr>
    <w:rPr>
      <w:rFonts w:ascii="黑体" w:hAnsi="黑体"/>
    </w:rPr>
  </w:style>
  <w:style w:type="paragraph" w:customStyle="1" w:styleId="141">
    <w:name w:val="样式 三级条标题 + 行距: 多倍行距 1.25 字行"/>
    <w:basedOn w:val="92"/>
    <w:qFormat/>
    <w:uiPriority w:val="0"/>
    <w:pPr>
      <w:spacing w:line="300" w:lineRule="auto"/>
    </w:pPr>
    <w:rPr>
      <w:rFonts w:hAnsi="黑体" w:cs="宋体"/>
      <w:color w:val="000000"/>
      <w:szCs w:val="21"/>
    </w:rPr>
  </w:style>
  <w:style w:type="paragraph" w:customStyle="1" w:styleId="142">
    <w:name w:val="样式 样式 三级条标题 + 宋体 行距: 多倍行距 1.25 字行 + Times New Roman"/>
    <w:basedOn w:val="128"/>
    <w:qFormat/>
    <w:uiPriority w:val="0"/>
    <w:pPr>
      <w:ind w:left="0"/>
    </w:pPr>
    <w:rPr>
      <w:rFonts w:ascii="Times New Roman" w:hAnsi="Times New Roman"/>
    </w:rPr>
  </w:style>
  <w:style w:type="character" w:customStyle="1" w:styleId="143">
    <w:name w:val="样式 三级条标题 + 宋体 行距: 多倍行距 1.25 字行 Char"/>
    <w:qFormat/>
    <w:uiPriority w:val="0"/>
    <w:rPr>
      <w:rFonts w:ascii="宋体" w:hAnsi="宋体" w:eastAsia="黑体"/>
      <w:color w:val="000000"/>
      <w:kern w:val="2"/>
      <w:sz w:val="21"/>
      <w:szCs w:val="21"/>
      <w:lang w:val="en-US" w:eastAsia="zh-CN" w:bidi="ar-SA"/>
    </w:rPr>
  </w:style>
  <w:style w:type="character" w:customStyle="1" w:styleId="144">
    <w:name w:val="样式 样式 三级条标题 + 宋体 行距: 多倍行距 1.25 字行 + Times New Roman Char"/>
    <w:basedOn w:val="143"/>
    <w:qFormat/>
    <w:uiPriority w:val="0"/>
    <w:rPr>
      <w:rFonts w:ascii="宋体" w:hAnsi="宋体" w:eastAsia="黑体"/>
      <w:color w:val="000000"/>
      <w:kern w:val="2"/>
      <w:sz w:val="21"/>
      <w:szCs w:val="21"/>
      <w:lang w:val="en-US" w:eastAsia="zh-CN" w:bidi="ar-SA"/>
    </w:rPr>
  </w:style>
  <w:style w:type="paragraph" w:customStyle="1" w:styleId="145">
    <w:name w:val="样式 三级条标题 + 宋体 行距: 多倍行距 1.25 字行 + 黑体 黑色"/>
    <w:basedOn w:val="128"/>
    <w:qFormat/>
    <w:uiPriority w:val="0"/>
    <w:pPr>
      <w:ind w:left="0"/>
    </w:pPr>
    <w:rPr>
      <w:rFonts w:ascii="黑体" w:hAnsi="黑体"/>
    </w:rPr>
  </w:style>
  <w:style w:type="paragraph" w:customStyle="1" w:styleId="146">
    <w:name w:val="样式 附录一级条标题 + Times New Roman"/>
    <w:basedOn w:val="69"/>
    <w:qFormat/>
    <w:uiPriority w:val="0"/>
    <w:pPr>
      <w:numPr>
        <w:numId w:val="0"/>
      </w:numPr>
    </w:pPr>
    <w:rPr>
      <w:rFonts w:ascii="Times New Roman"/>
    </w:rPr>
  </w:style>
  <w:style w:type="paragraph" w:customStyle="1" w:styleId="147">
    <w:name w:val="样式 三级条标题 + 行距: 单倍行距"/>
    <w:basedOn w:val="92"/>
    <w:qFormat/>
    <w:uiPriority w:val="0"/>
    <w:rPr>
      <w:rFonts w:hAnsi="黑体" w:cs="宋体"/>
      <w:color w:val="000000"/>
      <w:szCs w:val="21"/>
    </w:rPr>
  </w:style>
  <w:style w:type="paragraph" w:customStyle="1" w:styleId="14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49">
    <w:name w:val="样式 二级条标题 + (西文) Times New Roman (中文) 宋体 黑色 段前: 3.1 磅 行距: 多倍行..."/>
    <w:basedOn w:val="52"/>
    <w:qFormat/>
    <w:uiPriority w:val="0"/>
    <w:pPr>
      <w:spacing w:before="62" w:line="300" w:lineRule="auto"/>
    </w:pPr>
    <w:rPr>
      <w:rFonts w:ascii="Times New Roman" w:eastAsia="宋体" w:cs="宋体"/>
      <w:color w:val="000000"/>
    </w:rPr>
  </w:style>
  <w:style w:type="character" w:customStyle="1" w:styleId="150">
    <w:name w:val="样式 三级条标题 + Times New Roman Char"/>
    <w:basedOn w:val="126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151">
    <w:name w:val="样式 三级条标题 + Times New Roman"/>
    <w:basedOn w:val="92"/>
    <w:qFormat/>
    <w:uiPriority w:val="0"/>
  </w:style>
  <w:style w:type="paragraph" w:customStyle="1" w:styleId="1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53">
    <w:name w:val="样式 二级条标题 + Times New Roman1"/>
    <w:basedOn w:val="52"/>
    <w:qFormat/>
    <w:uiPriority w:val="0"/>
    <w:rPr>
      <w:rFonts w:hAnsi="Verdana"/>
    </w:rPr>
  </w:style>
  <w:style w:type="character" w:customStyle="1" w:styleId="154">
    <w:name w:val="样式 二级条标题 + Times New Roman1 Char"/>
    <w:qFormat/>
    <w:uiPriority w:val="0"/>
    <w:rPr>
      <w:rFonts w:ascii="黑体" w:hAnsi="Verdana" w:eastAsia="黑体"/>
      <w:sz w:val="21"/>
      <w:lang w:val="en-US" w:eastAsia="zh-CN" w:bidi="ar-SA"/>
    </w:rPr>
  </w:style>
  <w:style w:type="paragraph" w:customStyle="1" w:styleId="155">
    <w:name w:val="样式 附录一级条标题 + Times New Roman1"/>
    <w:basedOn w:val="69"/>
    <w:qFormat/>
    <w:uiPriority w:val="0"/>
    <w:pPr>
      <w:spacing w:beforeLines="50" w:afterLines="50"/>
    </w:pPr>
    <w:rPr>
      <w:rFonts w:ascii="Times New Roman"/>
    </w:rPr>
  </w:style>
  <w:style w:type="character" w:customStyle="1" w:styleId="156">
    <w:name w:val="附录章标题 Char"/>
    <w:qFormat/>
    <w:uiPriority w:val="0"/>
    <w:rPr>
      <w:rFonts w:ascii="黑体" w:eastAsia="黑体"/>
      <w:kern w:val="21"/>
      <w:sz w:val="21"/>
      <w:lang w:bidi="ar-SA"/>
    </w:rPr>
  </w:style>
  <w:style w:type="character" w:customStyle="1" w:styleId="157">
    <w:name w:val="附录一级条标题 Char"/>
    <w:basedOn w:val="156"/>
    <w:qFormat/>
    <w:uiPriority w:val="0"/>
    <w:rPr>
      <w:rFonts w:ascii="黑体" w:eastAsia="黑体"/>
      <w:kern w:val="21"/>
      <w:sz w:val="21"/>
      <w:lang w:bidi="ar-SA"/>
    </w:rPr>
  </w:style>
  <w:style w:type="character" w:customStyle="1" w:styleId="158">
    <w:name w:val="样式 附录一级条标题 + Times New Roman1 Char"/>
    <w:basedOn w:val="157"/>
    <w:qFormat/>
    <w:uiPriority w:val="0"/>
    <w:rPr>
      <w:rFonts w:ascii="黑体" w:eastAsia="黑体"/>
      <w:kern w:val="21"/>
      <w:sz w:val="21"/>
      <w:lang w:bidi="ar-SA"/>
    </w:rPr>
  </w:style>
  <w:style w:type="character" w:customStyle="1" w:styleId="159">
    <w:name w:val="三级条标题 Char2"/>
    <w:qFormat/>
    <w:uiPriority w:val="0"/>
    <w:rPr>
      <w:rFonts w:eastAsia="黑体"/>
      <w:sz w:val="21"/>
      <w:lang w:val="en-US" w:eastAsia="zh-CN" w:bidi="ar-SA"/>
    </w:rPr>
  </w:style>
  <w:style w:type="character" w:customStyle="1" w:styleId="160">
    <w:name w:val="页脚 字符"/>
    <w:basedOn w:val="27"/>
    <w:qFormat/>
    <w:uiPriority w:val="99"/>
    <w:rPr>
      <w:kern w:val="2"/>
      <w:sz w:val="18"/>
      <w:szCs w:val="18"/>
    </w:rPr>
  </w:style>
  <w:style w:type="character" w:customStyle="1" w:styleId="161">
    <w:name w:val="标题 字符"/>
    <w:basedOn w:val="2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styleId="16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63">
    <w:name w:val="Body text|1"/>
    <w:basedOn w:val="1"/>
    <w:qFormat/>
    <w:uiPriority w:val="0"/>
    <w:pPr>
      <w:widowControl w:val="0"/>
      <w:shd w:val="clear" w:color="auto" w:fill="auto"/>
      <w:spacing w:after="110" w:line="302" w:lineRule="auto"/>
      <w:ind w:firstLine="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4">
    <w:name w:val="Body text|2"/>
    <w:basedOn w:val="1"/>
    <w:qFormat/>
    <w:uiPriority w:val="0"/>
    <w:pPr>
      <w:widowControl w:val="0"/>
      <w:shd w:val="clear" w:color="auto" w:fill="auto"/>
      <w:spacing w:line="307" w:lineRule="exact"/>
      <w:ind w:firstLine="260"/>
    </w:pPr>
    <w:rPr>
      <w:sz w:val="20"/>
      <w:szCs w:val="20"/>
      <w:u w:val="none"/>
      <w:shd w:val="clear" w:color="auto" w:fill="auto"/>
    </w:rPr>
  </w:style>
  <w:style w:type="paragraph" w:customStyle="1" w:styleId="165">
    <w:name w:val="Body text|3"/>
    <w:basedOn w:val="1"/>
    <w:qFormat/>
    <w:uiPriority w:val="0"/>
    <w:pPr>
      <w:widowControl w:val="0"/>
      <w:shd w:val="clear" w:color="auto" w:fill="auto"/>
      <w:spacing w:after="1220"/>
      <w:jc w:val="center"/>
    </w:pPr>
    <w:rPr>
      <w:b/>
      <w:bCs/>
      <w:sz w:val="14"/>
      <w:szCs w:val="14"/>
      <w:u w:val="none"/>
      <w:shd w:val="clear" w:color="auto" w:fill="auto"/>
    </w:rPr>
  </w:style>
  <w:style w:type="paragraph" w:customStyle="1" w:styleId="166">
    <w:name w:val="Other|1"/>
    <w:basedOn w:val="1"/>
    <w:qFormat/>
    <w:uiPriority w:val="0"/>
    <w:pPr>
      <w:widowControl w:val="0"/>
      <w:shd w:val="clear" w:color="auto" w:fill="auto"/>
      <w:spacing w:after="110" w:line="302" w:lineRule="auto"/>
      <w:ind w:firstLine="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7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oleObject" Target="embeddings/oleObject1.bin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Liu Dong</cp:lastModifiedBy>
  <cp:revision>5</cp:revision>
  <cp:lastPrinted>2009-10-19T05:21:00Z</cp:lastPrinted>
  <dcterms:created xsi:type="dcterms:W3CDTF">2019-12-30T01:10:00Z</dcterms:created>
  <dcterms:modified xsi:type="dcterms:W3CDTF">2019-12-30T06:32:00Z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Tds</Template>
  <TotalTime>23</TotalTime>
  <Pages>5</Pages>
  <Words>493</Words>
  <Characters>2812</Characters>
  <Application>Microsoft Office Word</Application>
  <DocSecurity>0</DocSecurity>
  <Lines>23</Lines>
  <Paragraphs>6</Paragraphs>
  <ScaleCrop>false</ScaleCrop>
  <Company>中国标准研究中心</Company>
  <LinksUpToDate>false</LinksUpToDate>
  <CharactersWithSpaces>3299</CharactersWithSpaces>
  <SharedDoc>false</SharedDoc>
  <HyperlinksChanged>false</HyperlinksChanged>
  <AppVersion>16.0000</AppVersion>
</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roperties xmlns="http://schemas.openxmlformats.org/officeDocument/2006/extended-properties" xmlns:vt="http://schemas.openxmlformats.org/officeDocument/2006/docPropsVTypes">
  <Template>Tds</Template>
  <TotalTime>20</TotalTime>
  <Pages>4</Pages>
  <Words>479</Words>
  <Characters>2735</Characters>
  <Application>Microsoft Office Word</Application>
  <DocSecurity>0</DocSecurity>
  <Lines>22</Lines>
  <Paragraphs>6</Paragraphs>
  <ScaleCrop>false</ScaleCrop>
  <Company>中国标准研究中心</Company>
  <LinksUpToDate>false</LinksUpToDate>
  <CharactersWithSpaces>3208</CharactersWithSpaces>
  <SharedDoc>false</SharedDoc>
  <HyperlinksChanged>false</HyperlinksChanged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GZ</cp:lastModifiedBy>
  <cp:revision>5</cp:revision>
  <cp:lastPrinted>2009-10-19T05:21:00Z</cp:lastPrinted>
  <dcterms:created xsi:type="dcterms:W3CDTF">2020-04-02T07:43:00Z</dcterms:created>
  <dcterms:modified xsi:type="dcterms:W3CDTF">2020-04-02T12:52:00Z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8234E-28F8-4E0C-8F02-DE01E0101A47}">
  <ds:schemaRefs/>
</ds:datastoreItem>
</file>

<file path=customXml/itemProps3.xml><?xml version="1.0" encoding="utf-8"?>
<ds:datastoreItem xmlns:ds="http://schemas.openxmlformats.org/officeDocument/2006/customXml" ds:itemID="{A5A935E3-A7DE-4BBC-9D3F-3AF8F68F087E}">
  <ds:schemaRefs/>
</ds:datastoreItem>
</file>

<file path=customXml/itemProps4.xml><?xml version="1.0" encoding="utf-8"?>
<ds:datastoreItem xmlns:ds="http://schemas.openxmlformats.org/officeDocument/2006/customXml" ds:itemID="{53928DF3-E3B4-47A1-98F2-23D990B98A36}">
  <ds:schemaRefs/>
</ds:datastoreItem>
</file>

<file path=customXml/itemProps5.xml><?xml version="1.0" encoding="utf-8"?>
<ds:datastoreItem xmlns:ds="http://schemas.openxmlformats.org/officeDocument/2006/customXml" ds:itemID="{291373C4-7BF9-4AE9-9009-546020ACE67C}">
  <ds:schemaRefs/>
</ds:datastoreItem>
</file>

<file path=customXml/itemProps6.xml><?xml version="1.0" encoding="utf-8"?>
<ds:datastoreItem xmlns:ds="http://schemas.openxmlformats.org/officeDocument/2006/customXml" ds:itemID="{C12B5E1E-8E81-4337-8E9C-DF642F6B4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6</Pages>
  <Words>2244</Words>
  <Characters>2900</Characters>
  <Lines>8</Lines>
  <Paragraphs>6</Paragraphs>
  <TotalTime>1</TotalTime>
  <ScaleCrop>false</ScaleCrop>
  <LinksUpToDate>false</LinksUpToDate>
  <CharactersWithSpaces>3190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2021-05-11T08:26:00Z</dcterms:created>
  <dc:creator>LY</dc:creator>
  <cp:lastModifiedBy>user</cp:lastModifiedBy>
  <cp:lastPrinted>2020-06-28T01:37:00Z</cp:lastPrinted>
  <dcterms:modified xsi:type="dcterms:W3CDTF">2021-10-19T10:40:23Z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CBF13A03459943598F3C9B4D315526E5</vt:lpwstr>
  </property>
</Properties>
</file>